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采购项目编号：SCFY-YXZB202310-03（磋）</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19.5</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1"/>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80"/>
        <w:gridCol w:w="1080"/>
        <w:gridCol w:w="732"/>
        <w:gridCol w:w="921"/>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98" w:type="pct"/>
            <w:vMerge w:val="restart"/>
            <w:noWrap w:val="0"/>
            <w:vAlign w:val="center"/>
          </w:tcPr>
          <w:p>
            <w:pPr>
              <w:spacing w:line="420" w:lineRule="exact"/>
              <w:jc w:val="center"/>
              <w:rPr>
                <w:rFonts w:hint="eastAsia" w:eastAsia="宋体"/>
                <w:color w:val="000000"/>
                <w:lang w:val="en-US" w:eastAsia="zh-CN"/>
              </w:rPr>
            </w:pPr>
            <w:r>
              <w:rPr>
                <w:rFonts w:hint="eastAsia" w:cs="宋体"/>
                <w:color w:val="000000"/>
                <w:kern w:val="0"/>
                <w:lang w:val="en-US" w:eastAsia="zh-CN"/>
              </w:rPr>
              <w:t>项目清单及</w:t>
            </w:r>
            <w:r>
              <w:rPr>
                <w:rFonts w:hint="eastAsia" w:cs="宋体"/>
                <w:color w:val="000000"/>
                <w:kern w:val="0"/>
              </w:rPr>
              <w:t>技术参</w:t>
            </w:r>
            <w:r>
              <w:rPr>
                <w:rFonts w:hint="eastAsia" w:cs="宋体"/>
                <w:color w:val="000000"/>
                <w:kern w:val="0"/>
                <w:lang w:val="en-US" w:eastAsia="zh-CN"/>
              </w:rPr>
              <w:t>数</w:t>
            </w:r>
          </w:p>
        </w:tc>
        <w:tc>
          <w:tcPr>
            <w:tcW w:w="242"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546"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370"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66"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2975"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98" w:type="pct"/>
            <w:vMerge w:val="continue"/>
            <w:noWrap w:val="0"/>
            <w:vAlign w:val="center"/>
          </w:tcPr>
          <w:p>
            <w:pPr>
              <w:spacing w:line="420" w:lineRule="exact"/>
              <w:jc w:val="center"/>
              <w:rPr>
                <w:rFonts w:hint="eastAsia" w:cs="宋体"/>
                <w:color w:val="000000"/>
                <w:kern w:val="0"/>
              </w:rPr>
            </w:pPr>
          </w:p>
        </w:tc>
        <w:tc>
          <w:tcPr>
            <w:tcW w:w="242"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546" w:type="pct"/>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一次性使用静脉营养输液袋</w:t>
            </w:r>
          </w:p>
        </w:tc>
        <w:tc>
          <w:tcPr>
            <w:tcW w:w="370"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26元</w:t>
            </w:r>
          </w:p>
        </w:tc>
        <w:tc>
          <w:tcPr>
            <w:tcW w:w="466"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w:t>
            </w:r>
            <w:r>
              <w:rPr>
                <w:rFonts w:hint="eastAsia" w:ascii="宋体" w:hAnsi="宋体" w:eastAsia="宋体" w:cs="宋体"/>
                <w:color w:val="000000"/>
                <w:kern w:val="2"/>
                <w:sz w:val="21"/>
                <w:szCs w:val="21"/>
                <w:lang w:val="en-US" w:eastAsia="zh-CN" w:bidi="ar-SA"/>
              </w:rPr>
              <w:t>000</w:t>
            </w:r>
            <w:r>
              <w:rPr>
                <w:rFonts w:hint="eastAsia" w:ascii="宋体" w:hAnsi="宋体" w:cs="宋体"/>
                <w:color w:val="000000"/>
                <w:kern w:val="2"/>
                <w:sz w:val="21"/>
                <w:szCs w:val="21"/>
                <w:lang w:val="en-US" w:eastAsia="zh-CN" w:bidi="ar-SA"/>
              </w:rPr>
              <w:t>个</w:t>
            </w:r>
          </w:p>
        </w:tc>
        <w:tc>
          <w:tcPr>
            <w:tcW w:w="2975" w:type="pct"/>
            <w:noWrap w:val="0"/>
            <w:vAlign w:val="top"/>
          </w:tcPr>
          <w:p>
            <w:pPr>
              <w:widowControl/>
              <w:jc w:val="both"/>
              <w:textAlignment w:val="center"/>
              <w:rPr>
                <w:rFonts w:hint="eastAsia"/>
                <w:lang w:val="en-US" w:eastAsia="zh-CN"/>
              </w:rPr>
            </w:pPr>
            <w:r>
              <w:rPr>
                <w:rFonts w:hint="eastAsia"/>
                <w:lang w:val="en-US" w:eastAsia="zh-CN"/>
              </w:rPr>
              <w:t>用途：用于患者静脉输送营养液体。</w:t>
            </w:r>
          </w:p>
          <w:p>
            <w:pPr>
              <w:widowControl/>
              <w:numPr>
                <w:ilvl w:val="0"/>
                <w:numId w:val="1"/>
              </w:numPr>
              <w:jc w:val="both"/>
              <w:textAlignment w:val="center"/>
              <w:rPr>
                <w:rFonts w:hint="default"/>
                <w:lang w:val="en-US" w:eastAsia="zh-CN"/>
              </w:rPr>
            </w:pPr>
            <w:r>
              <w:rPr>
                <w:rFonts w:hint="eastAsia"/>
                <w:lang w:val="en-US" w:eastAsia="zh-CN"/>
              </w:rPr>
              <w:t>规格要求：500ml;</w:t>
            </w:r>
          </w:p>
          <w:p>
            <w:pPr>
              <w:widowControl/>
              <w:jc w:val="both"/>
              <w:textAlignment w:val="center"/>
              <w:rPr>
                <w:rFonts w:hint="default"/>
                <w:lang w:val="en-US" w:eastAsia="zh-CN"/>
              </w:rPr>
            </w:pPr>
            <w:r>
              <w:rPr>
                <w:rFonts w:hint="eastAsia"/>
              </w:rPr>
              <w:t>▲</w:t>
            </w:r>
            <w:r>
              <w:rPr>
                <w:rFonts w:hint="eastAsia"/>
                <w:lang w:val="en-US" w:eastAsia="zh-CN"/>
              </w:rPr>
              <w:t>2. 材质要求：EVA ;</w:t>
            </w:r>
          </w:p>
          <w:p>
            <w:pPr>
              <w:widowControl/>
              <w:numPr>
                <w:ilvl w:val="0"/>
                <w:numId w:val="2"/>
              </w:numPr>
              <w:jc w:val="both"/>
              <w:textAlignment w:val="center"/>
              <w:rPr>
                <w:rFonts w:hint="default"/>
                <w:lang w:val="en-US" w:eastAsia="zh-CN"/>
              </w:rPr>
            </w:pPr>
            <w:r>
              <w:rPr>
                <w:rFonts w:hint="eastAsia"/>
                <w:lang w:val="en-US" w:eastAsia="zh-CN"/>
              </w:rPr>
              <w:t>如配备输液器，输液器需独立包装（提供实物照片）；</w:t>
            </w:r>
          </w:p>
          <w:p>
            <w:pPr>
              <w:widowControl/>
              <w:jc w:val="both"/>
              <w:textAlignment w:val="center"/>
              <w:rPr>
                <w:rFonts w:hint="eastAsia"/>
                <w:lang w:val="en-US" w:eastAsia="zh-CN"/>
              </w:rPr>
            </w:pPr>
            <w:r>
              <w:rPr>
                <w:rFonts w:hint="eastAsia"/>
                <w:lang w:val="en-US" w:eastAsia="zh-CN"/>
              </w:rPr>
              <w:t>4. 放液体的夹子要求：夹得紧，不漏液；夹子操作时不费劲；</w:t>
            </w:r>
          </w:p>
          <w:p>
            <w:pPr>
              <w:widowControl/>
              <w:jc w:val="both"/>
              <w:textAlignment w:val="center"/>
              <w:rPr>
                <w:rFonts w:hint="eastAsia"/>
                <w:lang w:val="en-US" w:eastAsia="zh-CN"/>
              </w:rPr>
            </w:pPr>
            <w:r>
              <w:rPr>
                <w:rFonts w:hint="eastAsia"/>
                <w:lang w:val="en-US" w:eastAsia="zh-CN"/>
              </w:rPr>
              <w:t>5. 贴标签时标签不掉；</w:t>
            </w:r>
          </w:p>
          <w:p>
            <w:pPr>
              <w:pStyle w:val="2"/>
              <w:rPr>
                <w:rFonts w:hint="default"/>
                <w:lang w:val="en-US" w:eastAsia="zh-CN"/>
              </w:rPr>
            </w:pPr>
            <w:r>
              <w:rPr>
                <w:rFonts w:hint="eastAsia"/>
                <w:lang w:val="en-US" w:eastAsia="zh-CN"/>
              </w:rPr>
              <w:t>6. 环氧乙烷灭菌，一次性使用。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98" w:type="pct"/>
            <w:vMerge w:val="continue"/>
            <w:noWrap w:val="0"/>
            <w:vAlign w:val="center"/>
          </w:tcPr>
          <w:p>
            <w:pPr>
              <w:spacing w:line="420" w:lineRule="exact"/>
              <w:jc w:val="center"/>
              <w:rPr>
                <w:rFonts w:hint="eastAsia" w:cs="宋体"/>
                <w:color w:val="000000"/>
                <w:kern w:val="0"/>
              </w:rPr>
            </w:pPr>
          </w:p>
        </w:tc>
        <w:tc>
          <w:tcPr>
            <w:tcW w:w="242"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546"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一次性使用静脉营养输液袋</w:t>
            </w:r>
          </w:p>
        </w:tc>
        <w:tc>
          <w:tcPr>
            <w:tcW w:w="370"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26元</w:t>
            </w:r>
          </w:p>
        </w:tc>
        <w:tc>
          <w:tcPr>
            <w:tcW w:w="466"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500个</w:t>
            </w:r>
          </w:p>
        </w:tc>
        <w:tc>
          <w:tcPr>
            <w:tcW w:w="2975" w:type="pct"/>
            <w:noWrap w:val="0"/>
            <w:vAlign w:val="top"/>
          </w:tcPr>
          <w:p>
            <w:pPr>
              <w:widowControl/>
              <w:jc w:val="both"/>
              <w:textAlignment w:val="center"/>
              <w:rPr>
                <w:rFonts w:hint="eastAsia"/>
                <w:lang w:val="en-US" w:eastAsia="zh-CN"/>
              </w:rPr>
            </w:pPr>
            <w:r>
              <w:rPr>
                <w:rFonts w:hint="eastAsia"/>
                <w:lang w:val="en-US" w:eastAsia="zh-CN"/>
              </w:rPr>
              <w:t>用途：用于患者静脉输送营养液体。</w:t>
            </w:r>
          </w:p>
          <w:p>
            <w:pPr>
              <w:widowControl/>
              <w:numPr>
                <w:ilvl w:val="0"/>
                <w:numId w:val="3"/>
              </w:numPr>
              <w:jc w:val="both"/>
              <w:textAlignment w:val="center"/>
              <w:rPr>
                <w:rFonts w:hint="default"/>
                <w:lang w:val="en-US" w:eastAsia="zh-CN"/>
              </w:rPr>
            </w:pPr>
            <w:r>
              <w:rPr>
                <w:rFonts w:hint="eastAsia"/>
                <w:lang w:val="en-US" w:eastAsia="zh-CN"/>
              </w:rPr>
              <w:t>规格要求：3000ml;</w:t>
            </w:r>
          </w:p>
          <w:p>
            <w:pPr>
              <w:widowControl/>
              <w:jc w:val="both"/>
              <w:textAlignment w:val="center"/>
              <w:rPr>
                <w:rFonts w:hint="eastAsia"/>
                <w:lang w:val="en-US" w:eastAsia="zh-CN"/>
              </w:rPr>
            </w:pPr>
            <w:r>
              <w:rPr>
                <w:rFonts w:hint="eastAsia"/>
              </w:rPr>
              <w:t>▲</w:t>
            </w:r>
            <w:r>
              <w:rPr>
                <w:rFonts w:hint="eastAsia"/>
                <w:lang w:val="en-US" w:eastAsia="zh-CN"/>
              </w:rPr>
              <w:t>2. 材质要求：EVA ;</w:t>
            </w:r>
          </w:p>
          <w:p>
            <w:pPr>
              <w:widowControl/>
              <w:numPr>
                <w:ilvl w:val="0"/>
                <w:numId w:val="4"/>
              </w:numPr>
              <w:jc w:val="both"/>
              <w:textAlignment w:val="center"/>
              <w:rPr>
                <w:rFonts w:hint="eastAsia"/>
                <w:lang w:val="en-US" w:eastAsia="zh-CN"/>
              </w:rPr>
            </w:pPr>
            <w:r>
              <w:rPr>
                <w:rFonts w:hint="eastAsia"/>
                <w:lang w:val="en-US" w:eastAsia="zh-CN"/>
              </w:rPr>
              <w:t>如配备输液器，输液器需独立包装（提供实物照片）；</w:t>
            </w:r>
          </w:p>
          <w:p>
            <w:pPr>
              <w:widowControl/>
              <w:numPr>
                <w:ilvl w:val="0"/>
                <w:numId w:val="4"/>
              </w:numPr>
              <w:jc w:val="both"/>
              <w:textAlignment w:val="center"/>
              <w:rPr>
                <w:rFonts w:hint="eastAsia"/>
                <w:lang w:val="en-US" w:eastAsia="zh-CN"/>
              </w:rPr>
            </w:pPr>
            <w:r>
              <w:rPr>
                <w:rFonts w:hint="eastAsia"/>
                <w:lang w:val="en-US" w:eastAsia="zh-CN"/>
              </w:rPr>
              <w:t>放液体的夹子要求：夹得紧，不漏液；夹子操作时不费劲；</w:t>
            </w:r>
          </w:p>
          <w:p>
            <w:pPr>
              <w:widowControl/>
              <w:numPr>
                <w:ilvl w:val="0"/>
                <w:numId w:val="4"/>
              </w:numPr>
              <w:ind w:left="0" w:leftChars="0" w:firstLine="0" w:firstLineChars="0"/>
              <w:jc w:val="both"/>
              <w:textAlignment w:val="center"/>
              <w:rPr>
                <w:rFonts w:hint="default"/>
                <w:lang w:val="en-US" w:eastAsia="zh-CN"/>
              </w:rPr>
            </w:pPr>
            <w:r>
              <w:rPr>
                <w:rFonts w:hint="eastAsia"/>
                <w:lang w:val="en-US" w:eastAsia="zh-CN"/>
              </w:rPr>
              <w:t>贴标签时标签不掉；</w:t>
            </w:r>
          </w:p>
          <w:p>
            <w:pPr>
              <w:pStyle w:val="2"/>
              <w:numPr>
                <w:ilvl w:val="0"/>
                <w:numId w:val="4"/>
              </w:numPr>
              <w:ind w:left="0" w:leftChars="0" w:firstLine="0" w:firstLineChars="0"/>
              <w:rPr>
                <w:rFonts w:hint="default"/>
                <w:lang w:val="en-US" w:eastAsia="zh-CN"/>
              </w:rPr>
            </w:pPr>
            <w:r>
              <w:rPr>
                <w:rFonts w:hint="eastAsia"/>
                <w:lang w:val="en-US" w:eastAsia="zh-CN"/>
              </w:rPr>
              <w:t>环氧乙烷灭菌，一次性使用。</w:t>
            </w:r>
          </w:p>
        </w:tc>
      </w:tr>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4"/>
        <w:shd w:val="clear"/>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4"/>
        <w:shd w:val="clear"/>
        <w:ind w:left="283" w:leftChars="135" w:firstLine="0" w:firstLineChars="0"/>
      </w:pPr>
      <w:r>
        <w:rPr>
          <w:rFonts w:hint="eastAsia"/>
        </w:rPr>
        <w:t>（二）服务要求：</w:t>
      </w:r>
    </w:p>
    <w:p>
      <w:pPr>
        <w:pStyle w:val="4"/>
        <w:shd w:val="clear"/>
        <w:spacing w:line="400" w:lineRule="exact"/>
        <w:ind w:firstLine="480"/>
        <w:rPr>
          <w:rFonts w:hint="eastAsia"/>
          <w:lang w:eastAsia="zh-CN"/>
        </w:rPr>
      </w:pPr>
      <w:r>
        <w:rPr>
          <w:rFonts w:hint="eastAsia"/>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lang w:eastAsia="zh-CN"/>
        </w:rPr>
        <w:t>（</w:t>
      </w:r>
      <w:r>
        <w:rPr>
          <w:rFonts w:hint="eastAsia"/>
          <w:lang w:val="en-US" w:eastAsia="zh-CN"/>
        </w:rPr>
        <w:t>已经挂网的需要提供集采平台挂网截图</w:t>
      </w:r>
      <w:r>
        <w:rPr>
          <w:rFonts w:hint="eastAsia"/>
          <w:lang w:eastAsia="zh-CN"/>
        </w:rPr>
        <w:t>）</w:t>
      </w:r>
    </w:p>
    <w:p>
      <w:pPr>
        <w:pStyle w:val="4"/>
        <w:shd w:val="clear"/>
        <w:spacing w:line="400" w:lineRule="exact"/>
        <w:ind w:firstLine="480"/>
      </w:pPr>
      <w:r>
        <w:rPr>
          <w:rFonts w:hint="eastAsia"/>
        </w:rPr>
        <w:t>（三）商务要求：</w:t>
      </w:r>
    </w:p>
    <w:p>
      <w:pPr>
        <w:pStyle w:val="4"/>
        <w:shd w:val="clear"/>
        <w:spacing w:line="400" w:lineRule="exact"/>
        <w:ind w:firstLine="480"/>
      </w:pPr>
      <w:r>
        <w:rPr>
          <w:rFonts w:hint="eastAsia"/>
        </w:rPr>
        <w:t>▲1.付款方法和条件：</w:t>
      </w:r>
    </w:p>
    <w:p>
      <w:pPr>
        <w:pStyle w:val="4"/>
        <w:shd w:val="clear"/>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4"/>
        <w:shd w:val="clear"/>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4"/>
        <w:shd w:val="clear"/>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4"/>
        <w:shd w:val="clear"/>
        <w:spacing w:line="400" w:lineRule="exact"/>
        <w:ind w:firstLine="480"/>
      </w:pPr>
      <w:r>
        <w:rPr>
          <w:rFonts w:hint="eastAsia"/>
        </w:rPr>
        <w:t>（2）因供应商供货质量不合格或不符合采购人要求的，采购人有权拒绝付款。</w:t>
      </w:r>
    </w:p>
    <w:p>
      <w:pPr>
        <w:pStyle w:val="4"/>
        <w:shd w:val="clear"/>
        <w:spacing w:line="400" w:lineRule="exact"/>
        <w:ind w:firstLine="480"/>
      </w:pPr>
      <w:r>
        <w:rPr>
          <w:rFonts w:hint="eastAsia"/>
        </w:rPr>
        <w:t>▲2.供货期限：3年，采购数量以实际使用量为准。</w:t>
      </w:r>
    </w:p>
    <w:p>
      <w:pPr>
        <w:pStyle w:val="4"/>
        <w:shd w:val="clear"/>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4"/>
        <w:shd w:val="clear"/>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4"/>
        <w:shd w:val="clear"/>
        <w:spacing w:line="400" w:lineRule="exact"/>
        <w:ind w:firstLine="480"/>
      </w:pPr>
      <w:r>
        <w:rPr>
          <w:rFonts w:hint="eastAsia"/>
        </w:rPr>
        <w:t>▲5.质量保证：</w:t>
      </w:r>
    </w:p>
    <w:p>
      <w:pPr>
        <w:pStyle w:val="4"/>
        <w:shd w:val="clear"/>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4"/>
        <w:shd w:val="clear"/>
        <w:spacing w:line="400" w:lineRule="exact"/>
        <w:ind w:firstLine="480"/>
        <w:rPr>
          <w:rFonts w:hint="eastAsia"/>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hd w:val="clear"/>
        <w:spacing w:line="360" w:lineRule="auto"/>
        <w:jc w:val="left"/>
        <w:rPr>
          <w:rFonts w:hint="eastAsia" w:ascii="宋体" w:hAnsi="宋体" w:eastAsia="宋体" w:cs="Segoe UI"/>
          <w:b/>
          <w:bCs/>
          <w:kern w:val="0"/>
          <w:sz w:val="28"/>
          <w:szCs w:val="28"/>
        </w:rPr>
      </w:pPr>
    </w:p>
    <w:p>
      <w:pPr>
        <w:shd w:val="clea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480"/>
        <w:gridCol w:w="1032"/>
        <w:gridCol w:w="588"/>
        <w:gridCol w:w="5008"/>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19"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4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29"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01"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567"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03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98" w:hRule="atLeast"/>
          <w:jc w:val="center"/>
        </w:trPr>
        <w:tc>
          <w:tcPr>
            <w:tcW w:w="319" w:type="pct"/>
            <w:vMerge w:val="continue"/>
            <w:noWrap w:val="0"/>
            <w:vAlign w:val="center"/>
          </w:tcPr>
          <w:p>
            <w:pPr>
              <w:spacing w:line="420" w:lineRule="exact"/>
              <w:jc w:val="center"/>
              <w:rPr>
                <w:rFonts w:hint="eastAsia" w:cs="宋体"/>
                <w:color w:val="000000"/>
                <w:kern w:val="0"/>
              </w:rPr>
            </w:pPr>
          </w:p>
        </w:tc>
        <w:tc>
          <w:tcPr>
            <w:tcW w:w="246"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29"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5</w:t>
            </w:r>
            <w:r>
              <w:rPr>
                <w:rFonts w:hint="eastAsia" w:ascii="宋体" w:hAnsi="宋体" w:cs="Segoe UI"/>
                <w:color w:val="000000"/>
                <w:kern w:val="0"/>
                <w:sz w:val="18"/>
                <w:szCs w:val="18"/>
              </w:rPr>
              <w:t>0%</w:t>
            </w:r>
          </w:p>
        </w:tc>
        <w:tc>
          <w:tcPr>
            <w:tcW w:w="301"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50</w:t>
            </w:r>
          </w:p>
        </w:tc>
        <w:tc>
          <w:tcPr>
            <w:tcW w:w="2567"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50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50</w:t>
            </w:r>
          </w:p>
        </w:tc>
        <w:tc>
          <w:tcPr>
            <w:tcW w:w="1035" w:type="pct"/>
            <w:noWrap w:val="0"/>
            <w:vAlign w:val="center"/>
          </w:tcPr>
          <w:p>
            <w:pPr>
              <w:widowControl/>
              <w:numPr>
                <w:ilvl w:val="0"/>
                <w:numId w:val="5"/>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5"/>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7" w:hRule="atLeast"/>
          <w:jc w:val="center"/>
        </w:trPr>
        <w:tc>
          <w:tcPr>
            <w:tcW w:w="319" w:type="pct"/>
            <w:vMerge w:val="continue"/>
            <w:noWrap w:val="0"/>
            <w:vAlign w:val="center"/>
          </w:tcPr>
          <w:p>
            <w:pPr>
              <w:spacing w:line="420" w:lineRule="exact"/>
              <w:jc w:val="center"/>
              <w:rPr>
                <w:rFonts w:hint="eastAsia" w:cs="宋体"/>
                <w:color w:val="000000"/>
                <w:kern w:val="0"/>
              </w:rPr>
            </w:pPr>
          </w:p>
        </w:tc>
        <w:tc>
          <w:tcPr>
            <w:tcW w:w="246"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29"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301"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567"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w:t>
            </w:r>
            <w:r>
              <w:rPr>
                <w:rFonts w:hint="eastAsia" w:ascii="宋体" w:hAnsi="宋体" w:cs="宋体"/>
                <w:color w:val="auto"/>
                <w:kern w:val="0"/>
                <w:sz w:val="18"/>
                <w:szCs w:val="18"/>
              </w:rPr>
              <w:t>离得</w:t>
            </w:r>
            <w:r>
              <w:rPr>
                <w:rFonts w:hint="eastAsia" w:ascii="宋体" w:hAnsi="宋体" w:cs="宋体"/>
                <w:color w:val="auto"/>
                <w:kern w:val="0"/>
                <w:sz w:val="18"/>
                <w:szCs w:val="18"/>
                <w:lang w:val="en-US" w:eastAsia="zh-CN"/>
              </w:rPr>
              <w:t>30</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分，</w:t>
            </w:r>
            <w:r>
              <w:rPr>
                <w:rFonts w:hint="eastAsia" w:ascii="宋体" w:hAnsi="宋体" w:cs="宋体"/>
                <w:kern w:val="0"/>
                <w:sz w:val="18"/>
                <w:szCs w:val="18"/>
              </w:rPr>
              <w:t>扣完为止。</w:t>
            </w:r>
            <w:bookmarkStart w:id="3" w:name="_GoBack"/>
            <w:bookmarkEnd w:id="3"/>
          </w:p>
        </w:tc>
        <w:tc>
          <w:tcPr>
            <w:tcW w:w="1035"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center"/>
        </w:trPr>
        <w:tc>
          <w:tcPr>
            <w:tcW w:w="319" w:type="pct"/>
            <w:vMerge w:val="continue"/>
            <w:noWrap w:val="0"/>
            <w:vAlign w:val="center"/>
          </w:tcPr>
          <w:p>
            <w:pPr>
              <w:spacing w:line="420" w:lineRule="exact"/>
              <w:jc w:val="center"/>
              <w:rPr>
                <w:rFonts w:hint="eastAsia" w:cs="宋体"/>
                <w:color w:val="000000"/>
                <w:kern w:val="0"/>
              </w:rPr>
            </w:pPr>
          </w:p>
        </w:tc>
        <w:tc>
          <w:tcPr>
            <w:tcW w:w="24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529"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301" w:type="pct"/>
            <w:noWrap w:val="0"/>
            <w:vAlign w:val="center"/>
          </w:tcPr>
          <w:p>
            <w:pPr>
              <w:widowControl/>
              <w:wordWrap w:val="0"/>
              <w:spacing w:line="270" w:lineRule="atLeast"/>
              <w:jc w:val="center"/>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p>
        </w:tc>
        <w:tc>
          <w:tcPr>
            <w:tcW w:w="2567"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提供</w:t>
            </w:r>
            <w:r>
              <w:rPr>
                <w:rFonts w:hint="eastAsia" w:ascii="宋体" w:hAnsi="宋体" w:cs="宋体"/>
                <w:kern w:val="0"/>
                <w:sz w:val="18"/>
                <w:szCs w:val="18"/>
                <w:lang w:val="en-US" w:eastAsia="zh-CN"/>
              </w:rPr>
              <w:t>响应</w:t>
            </w:r>
            <w:r>
              <w:rPr>
                <w:rFonts w:hint="eastAsia" w:ascii="宋体" w:hAnsi="宋体" w:cs="宋体"/>
                <w:kern w:val="0"/>
                <w:sz w:val="18"/>
                <w:szCs w:val="18"/>
              </w:rPr>
              <w:t>产品样品（</w:t>
            </w:r>
            <w:r>
              <w:rPr>
                <w:rFonts w:hint="eastAsia" w:ascii="宋体" w:hAnsi="宋体" w:cs="宋体"/>
                <w:kern w:val="0"/>
                <w:sz w:val="18"/>
                <w:szCs w:val="18"/>
                <w:lang w:val="en-US" w:eastAsia="zh-CN"/>
              </w:rPr>
              <w:t>500ml</w:t>
            </w:r>
            <w:r>
              <w:rPr>
                <w:rFonts w:hint="eastAsia" w:ascii="宋体" w:hAnsi="宋体" w:cs="宋体"/>
                <w:kern w:val="0"/>
                <w:sz w:val="18"/>
                <w:szCs w:val="18"/>
              </w:rPr>
              <w:t>和</w:t>
            </w:r>
            <w:r>
              <w:rPr>
                <w:rFonts w:hint="eastAsia" w:ascii="宋体" w:hAnsi="宋体" w:cs="宋体"/>
                <w:kern w:val="0"/>
                <w:sz w:val="18"/>
                <w:szCs w:val="18"/>
                <w:lang w:val="en-US" w:eastAsia="zh-CN"/>
              </w:rPr>
              <w:t>3000ml静脉营养输液袋</w:t>
            </w:r>
            <w:r>
              <w:rPr>
                <w:rFonts w:hint="eastAsia" w:ascii="宋体" w:hAnsi="宋体" w:cs="宋体"/>
                <w:kern w:val="0"/>
                <w:sz w:val="18"/>
                <w:szCs w:val="18"/>
              </w:rPr>
              <w:t>样品各1个），根据样品的外观、材质、性能、是否符合临床需求等综合评定，优9-10分；良得6-8分；差得1-5分；未提供或提供不全本项不得分。</w:t>
            </w:r>
          </w:p>
        </w:tc>
        <w:tc>
          <w:tcPr>
            <w:tcW w:w="1035"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5" w:hRule="atLeast"/>
          <w:jc w:val="center"/>
        </w:trPr>
        <w:tc>
          <w:tcPr>
            <w:tcW w:w="319" w:type="pct"/>
            <w:vMerge w:val="continue"/>
            <w:noWrap w:val="0"/>
            <w:vAlign w:val="center"/>
          </w:tcPr>
          <w:p>
            <w:pPr>
              <w:spacing w:line="420" w:lineRule="exact"/>
              <w:jc w:val="center"/>
              <w:rPr>
                <w:rFonts w:hint="eastAsia" w:cs="宋体"/>
                <w:color w:val="000000"/>
                <w:kern w:val="0"/>
              </w:rPr>
            </w:pPr>
          </w:p>
        </w:tc>
        <w:tc>
          <w:tcPr>
            <w:tcW w:w="246"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529"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7</w:t>
            </w:r>
            <w:r>
              <w:rPr>
                <w:rFonts w:hint="eastAsia" w:ascii="宋体" w:hAnsi="宋体" w:cs="Segoe UI"/>
                <w:color w:val="000000"/>
                <w:kern w:val="0"/>
                <w:sz w:val="18"/>
                <w:szCs w:val="18"/>
              </w:rPr>
              <w:t>%</w:t>
            </w:r>
          </w:p>
        </w:tc>
        <w:tc>
          <w:tcPr>
            <w:tcW w:w="301"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7</w:t>
            </w:r>
          </w:p>
        </w:tc>
        <w:tc>
          <w:tcPr>
            <w:tcW w:w="2567"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。（需提供医院等级证明截图，不提供不得分）</w:t>
            </w:r>
          </w:p>
        </w:tc>
        <w:tc>
          <w:tcPr>
            <w:tcW w:w="1035" w:type="pct"/>
            <w:noWrap w:val="0"/>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r>
              <w:rPr>
                <w:rFonts w:hint="eastAsia" w:ascii="宋体" w:hAnsi="宋体" w:cs="Segoe UI"/>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center"/>
        </w:trPr>
        <w:tc>
          <w:tcPr>
            <w:tcW w:w="319" w:type="pct"/>
            <w:vMerge w:val="continue"/>
            <w:noWrap w:val="0"/>
            <w:vAlign w:val="center"/>
          </w:tcPr>
          <w:p>
            <w:pPr>
              <w:spacing w:line="420" w:lineRule="exact"/>
              <w:jc w:val="center"/>
              <w:rPr>
                <w:rFonts w:hint="eastAsia" w:cs="宋体"/>
                <w:color w:val="000000"/>
                <w:kern w:val="0"/>
              </w:rPr>
            </w:pPr>
          </w:p>
        </w:tc>
        <w:tc>
          <w:tcPr>
            <w:tcW w:w="24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529"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w:t>
            </w:r>
          </w:p>
        </w:tc>
        <w:tc>
          <w:tcPr>
            <w:tcW w:w="301"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3</w:t>
            </w:r>
          </w:p>
        </w:tc>
        <w:tc>
          <w:tcPr>
            <w:tcW w:w="2567"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0.5</w:t>
            </w:r>
            <w:r>
              <w:rPr>
                <w:rFonts w:hint="eastAsia" w:ascii="宋体" w:hAnsi="宋体" w:cs="宋体"/>
                <w:kern w:val="0"/>
                <w:sz w:val="18"/>
                <w:szCs w:val="18"/>
                <w:lang w:bidi="ar"/>
              </w:rPr>
              <w:t>分，分值扣完为止。</w:t>
            </w:r>
          </w:p>
        </w:tc>
        <w:tc>
          <w:tcPr>
            <w:tcW w:w="1035" w:type="pct"/>
            <w:noWrap w:val="0"/>
            <w:vAlign w:val="center"/>
          </w:tcPr>
          <w:p>
            <w:pPr>
              <w:wordWrap w:val="0"/>
              <w:jc w:val="left"/>
              <w:rPr>
                <w:rFonts w:ascii="宋体" w:hAnsi="宋体" w:cs="Segoe UI"/>
                <w:color w:val="000000"/>
                <w:kern w:val="0"/>
                <w:sz w:val="18"/>
                <w:szCs w:val="18"/>
                <w:lang w:val="en-US" w:eastAsia="zh-CN" w:bidi="ar-SA"/>
              </w:rPr>
            </w:pPr>
          </w:p>
        </w:tc>
      </w:tr>
    </w:tbl>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shd w:val="clear"/>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shd w:val="clear"/>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4" w:space="0"/>
              <w:right w:val="single" w:color="auto" w:sz="8"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4" w:space="0"/>
              <w:right w:val="single" w:color="auto" w:sz="8"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shd w:val="clear"/>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13506"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hd w:val="clear"/>
              <w:tabs>
                <w:tab w:val="left" w:pos="5511"/>
              </w:tabs>
              <w:wordWrap w:val="0"/>
              <w:jc w:val="left"/>
              <w:rPr>
                <w:rFonts w:hint="default" w:ascii="宋体" w:hAnsi="宋体" w:eastAsia="宋体" w:cs="Segoe UI"/>
                <w:color w:val="000000" w:themeColor="text1"/>
                <w:kern w:val="0"/>
                <w:sz w:val="24"/>
                <w:szCs w:val="24"/>
                <w:lang w:val="en-US" w:eastAsia="zh-CN"/>
              </w:rPr>
            </w:pPr>
            <w:r>
              <w:rPr>
                <w:rFonts w:hint="eastAsia" w:ascii="宋体" w:hAnsi="宋体" w:eastAsia="宋体" w:cs="Segoe UI"/>
                <w:color w:val="000000" w:themeColor="text1"/>
                <w:kern w:val="0"/>
                <w:sz w:val="24"/>
                <w:szCs w:val="24"/>
                <w:lang w:eastAsia="zh-CN"/>
              </w:rPr>
              <w:tab/>
            </w:r>
            <w:r>
              <w:rPr>
                <w:rFonts w:hint="eastAsia" w:ascii="宋体" w:hAnsi="宋体" w:eastAsia="宋体" w:cs="Segoe UI"/>
                <w:color w:val="000000" w:themeColor="text1"/>
                <w:kern w:val="0"/>
                <w:sz w:val="24"/>
                <w:szCs w:val="24"/>
                <w:lang w:val="en-US" w:eastAsia="zh-CN"/>
              </w:rPr>
              <w:t>报价总价：       （元）（大写：                 ）</w:t>
            </w:r>
          </w:p>
        </w:tc>
      </w:tr>
    </w:tbl>
    <w:p>
      <w:pPr>
        <w:widowControl/>
        <w:shd w:val="clear" w:color="auto"/>
        <w:wordWrap w:val="0"/>
        <w:jc w:val="left"/>
        <w:rPr>
          <w:rFonts w:hint="eastAsia" w:ascii="仿宋_GB2312" w:hAnsi="Segoe UI" w:eastAsia="仿宋_GB2312" w:cs="Segoe UI"/>
          <w:color w:val="000000" w:themeColor="text1"/>
          <w:kern w:val="0"/>
          <w:sz w:val="24"/>
          <w:szCs w:val="24"/>
        </w:rPr>
      </w:pP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2"/>
        <w:keepNext w:val="0"/>
        <w:keepLines w:val="0"/>
        <w:pageBreakBefore w:val="0"/>
        <w:shd w:val="clear"/>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shd w:val="clear"/>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keepNext w:val="0"/>
        <w:keepLines w:val="0"/>
        <w:pageBreakBefore w:val="0"/>
        <w:widowControl w:val="0"/>
        <w:shd w:val="clear"/>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shd w:val="clear"/>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2"/>
        <w:keepNext w:val="0"/>
        <w:keepLines w:val="0"/>
        <w:pageBreakBefore w:val="0"/>
        <w:widowControl w:val="0"/>
        <w:shd w:val="clear"/>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shd w:val="clear"/>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2"/>
        <w:keepNext w:val="0"/>
        <w:keepLines w:val="0"/>
        <w:pageBreakBefore w:val="0"/>
        <w:widowControl w:val="0"/>
        <w:shd w:val="clear"/>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shd w:val="clear"/>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shd w:val="clear"/>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2"/>
        <w:keepNext w:val="0"/>
        <w:keepLines w:val="0"/>
        <w:pageBreakBefore w:val="0"/>
        <w:shd w:val="clear"/>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shd w:val="clear"/>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2"/>
        <w:keepNext w:val="0"/>
        <w:keepLines w:val="0"/>
        <w:pageBreakBefore w:val="0"/>
        <w:widowControl w:val="0"/>
        <w:shd w:val="clear"/>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shd w:val="clea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shd w:val="clear"/>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2"/>
        <w:keepNext w:val="0"/>
        <w:keepLines w:val="0"/>
        <w:pageBreakBefore w:val="0"/>
        <w:shd w:val="clear"/>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2"/>
        <w:keepNext w:val="0"/>
        <w:keepLines w:val="0"/>
        <w:pageBreakBefore w:val="0"/>
        <w:shd w:val="clear"/>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2"/>
        <w:keepNext w:val="0"/>
        <w:keepLines w:val="0"/>
        <w:pageBreakBefore w:val="0"/>
        <w:shd w:val="clear"/>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4CD61"/>
    <w:multiLevelType w:val="singleLevel"/>
    <w:tmpl w:val="9754CD61"/>
    <w:lvl w:ilvl="0" w:tentative="0">
      <w:start w:val="1"/>
      <w:numFmt w:val="decimal"/>
      <w:suff w:val="space"/>
      <w:lvlText w:val="%1."/>
      <w:lvlJc w:val="left"/>
    </w:lvl>
  </w:abstractNum>
  <w:abstractNum w:abstractNumId="1">
    <w:nsid w:val="E1255852"/>
    <w:multiLevelType w:val="singleLevel"/>
    <w:tmpl w:val="E1255852"/>
    <w:lvl w:ilvl="0" w:tentative="0">
      <w:start w:val="3"/>
      <w:numFmt w:val="decimal"/>
      <w:suff w:val="space"/>
      <w:lvlText w:val="%1."/>
      <w:lvlJc w:val="left"/>
    </w:lvl>
  </w:abstractNum>
  <w:abstractNum w:abstractNumId="2">
    <w:nsid w:val="F7B09F99"/>
    <w:multiLevelType w:val="singleLevel"/>
    <w:tmpl w:val="F7B09F99"/>
    <w:lvl w:ilvl="0" w:tentative="0">
      <w:start w:val="3"/>
      <w:numFmt w:val="decimal"/>
      <w:lvlText w:val="%1."/>
      <w:lvlJc w:val="left"/>
      <w:pPr>
        <w:tabs>
          <w:tab w:val="left" w:pos="312"/>
        </w:tabs>
      </w:pPr>
    </w:lvl>
  </w:abstractNum>
  <w:abstractNum w:abstractNumId="3">
    <w:nsid w:val="0723BC51"/>
    <w:multiLevelType w:val="singleLevel"/>
    <w:tmpl w:val="0723BC51"/>
    <w:lvl w:ilvl="0" w:tentative="0">
      <w:start w:val="1"/>
      <w:numFmt w:val="decimal"/>
      <w:lvlText w:val="%1."/>
      <w:lvlJc w:val="left"/>
      <w:pPr>
        <w:tabs>
          <w:tab w:val="left" w:pos="312"/>
        </w:tabs>
      </w:pPr>
    </w:lvl>
  </w:abstractNum>
  <w:abstractNum w:abstractNumId="4">
    <w:nsid w:val="2A63E39F"/>
    <w:multiLevelType w:val="singleLevel"/>
    <w:tmpl w:val="2A63E39F"/>
    <w:lvl w:ilvl="0" w:tentative="0">
      <w:start w:val="1"/>
      <w:numFmt w:val="decimal"/>
      <w:suff w:val="space"/>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364F4E7F"/>
    <w:rsid w:val="365344A5"/>
    <w:rsid w:val="51CB3FD0"/>
    <w:rsid w:val="5536063D"/>
    <w:rsid w:val="62FA0171"/>
    <w:rsid w:val="65C660EF"/>
    <w:rsid w:val="701306BF"/>
    <w:rsid w:val="75233D75"/>
    <w:rsid w:val="77490A08"/>
    <w:rsid w:val="78BA1DAC"/>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9"/>
    <w:semiHidden/>
    <w:unhideWhenUsed/>
    <w:qFormat/>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5"/>
    <w:semiHidden/>
    <w:qFormat/>
    <w:uiPriority w:val="99"/>
  </w:style>
  <w:style w:type="character" w:customStyle="1" w:styleId="19">
    <w:name w:val="批注主题 Char"/>
    <w:basedOn w:val="18"/>
    <w:link w:val="10"/>
    <w:semiHidden/>
    <w:qFormat/>
    <w:uiPriority w:val="99"/>
    <w:rPr>
      <w:b/>
      <w:bCs/>
    </w:rPr>
  </w:style>
  <w:style w:type="character" w:customStyle="1" w:styleId="20">
    <w:name w:val="批注框文本 Char"/>
    <w:basedOn w:val="13"/>
    <w:link w:val="6"/>
    <w:semiHidden/>
    <w:qFormat/>
    <w:uiPriority w:val="99"/>
    <w:rPr>
      <w:sz w:val="18"/>
      <w:szCs w:val="18"/>
    </w:rPr>
  </w:style>
  <w:style w:type="character" w:customStyle="1" w:styleId="21">
    <w:name w:val="fontstyle01"/>
    <w:basedOn w:val="13"/>
    <w:qFormat/>
    <w:uiPriority w:val="0"/>
    <w:rPr>
      <w:rFonts w:ascii="SegoeUI" w:hAnsi="SegoeUI" w:eastAsia="SegoeUI" w:cs="SegoeUI"/>
      <w:color w:val="333333"/>
      <w:sz w:val="16"/>
      <w:szCs w:val="16"/>
    </w:rPr>
  </w:style>
  <w:style w:type="character" w:customStyle="1" w:styleId="22">
    <w:name w:val="fontstyle11"/>
    <w:basedOn w:val="13"/>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2023-10-09T10:55:10Z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