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pStyle w:val="2"/>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b w:val="0"/>
          <w:i w:val="0"/>
          <w:caps w:val="0"/>
          <w:color w:val="auto"/>
          <w:spacing w:val="0"/>
          <w:w w:val="100"/>
          <w:sz w:val="24"/>
          <w:szCs w:val="24"/>
          <w:highlight w:val="none"/>
        </w:rPr>
        <w:t>1.项目名称：</w:t>
      </w:r>
      <w:r>
        <w:rPr>
          <w:rFonts w:hint="eastAsia" w:ascii="宋体" w:hAnsi="宋体" w:eastAsia="宋体" w:cs="宋体"/>
          <w:sz w:val="24"/>
          <w:szCs w:val="24"/>
          <w:highlight w:val="none"/>
          <w:lang w:eastAsia="zh-CN"/>
        </w:rPr>
        <w:t>晋阳院区急诊儿科候诊区</w:t>
      </w:r>
      <w:r>
        <w:rPr>
          <w:rFonts w:hint="eastAsia" w:ascii="宋体" w:hAnsi="宋体" w:eastAsia="宋体" w:cs="宋体"/>
          <w:sz w:val="24"/>
          <w:szCs w:val="24"/>
          <w:highlight w:val="none"/>
        </w:rPr>
        <w:t>改造项目</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eastAsia="zh-CN"/>
        </w:rPr>
        <w:t>项目地址</w:t>
      </w:r>
      <w:r>
        <w:rPr>
          <w:rFonts w:hint="eastAsia" w:ascii="宋体" w:hAnsi="宋体" w:eastAsia="宋体" w:cs="宋体"/>
          <w:b w:val="0"/>
          <w:i w:val="0"/>
          <w:caps w:val="0"/>
          <w:color w:val="auto"/>
          <w:spacing w:val="0"/>
          <w:w w:val="100"/>
          <w:sz w:val="24"/>
          <w:szCs w:val="24"/>
          <w:highlight w:val="none"/>
        </w:rPr>
        <w:t>：成都市武侯区沙堰西二街290号</w:t>
      </w:r>
      <w:r>
        <w:rPr>
          <w:rFonts w:hint="eastAsia" w:ascii="宋体" w:hAnsi="宋体" w:eastAsia="宋体" w:cs="宋体"/>
          <w:b w:val="0"/>
          <w:i w:val="0"/>
          <w:caps w:val="0"/>
          <w:color w:val="auto"/>
          <w:spacing w:val="0"/>
          <w:w w:val="100"/>
          <w:sz w:val="24"/>
          <w:szCs w:val="24"/>
          <w:highlight w:val="none"/>
          <w:lang w:val="en-US" w:eastAsia="zh-CN"/>
        </w:rPr>
        <w:t>。</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3</w:t>
      </w:r>
      <w:r>
        <w:rPr>
          <w:rFonts w:hint="eastAsia" w:ascii="宋体" w:hAnsi="宋体" w:eastAsia="宋体" w:cs="宋体"/>
          <w:b w:val="0"/>
          <w:i w:val="0"/>
          <w:caps w:val="0"/>
          <w:color w:val="auto"/>
          <w:spacing w:val="0"/>
          <w:w w:val="100"/>
          <w:sz w:val="24"/>
          <w:szCs w:val="24"/>
          <w:highlight w:val="none"/>
        </w:rPr>
        <w:t>.服务期限：</w:t>
      </w:r>
      <w:r>
        <w:rPr>
          <w:rFonts w:hint="eastAsia" w:ascii="宋体" w:hAnsi="宋体" w:eastAsia="宋体" w:cs="宋体"/>
          <w:b w:val="0"/>
          <w:i w:val="0"/>
          <w:caps w:val="0"/>
          <w:color w:val="auto"/>
          <w:spacing w:val="0"/>
          <w:w w:val="100"/>
          <w:sz w:val="24"/>
          <w:szCs w:val="24"/>
          <w:highlight w:val="none"/>
          <w:lang w:val="en-US" w:eastAsia="zh-CN"/>
        </w:rPr>
        <w:t>质保期2年，从项目验收合格之日起计算。</w:t>
      </w:r>
    </w:p>
    <w:p>
      <w:pPr>
        <w:pStyle w:val="3"/>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4.最高限价：369860.03元。</w:t>
      </w:r>
    </w:p>
    <w:p>
      <w:pPr>
        <w:keepNext w:val="0"/>
        <w:keepLines w:val="0"/>
        <w:pageBreakBefore w:val="0"/>
        <w:kinsoku/>
        <w:wordWrap/>
        <w:overflowPunct/>
        <w:topLinePunct w:val="0"/>
        <w:autoSpaceDE/>
        <w:autoSpaceDN/>
        <w:bidi w:val="0"/>
        <w:spacing w:beforeAutospacing="0" w:afterAutospacing="0"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二、采购项目具体需求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.投标人应按照四川省住房和城乡建设厅、四川省财政厅联合颁发的《四川省施工企业工程规费计取标准》进行此次项目报价。</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.要求：在质保期内，负责所有此次施工项目非人为原因造成的损坏区域的修补及维护。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3.改造后的工程项目须提供合格的空气检测报告。</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项目设计图（见附件</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项目造价清单（见附件</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eastAsia="宋体" w:cs="宋体"/>
          <w:color w:val="auto"/>
          <w:kern w:val="0"/>
          <w:sz w:val="24"/>
          <w:szCs w:val="24"/>
          <w:highlight w:val="none"/>
          <w:lang w:val="en-US" w:eastAsia="zh-CN"/>
        </w:rPr>
        <w:t>后勤保障部组织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auto"/>
          <w:kern w:val="0"/>
          <w:sz w:val="24"/>
          <w:szCs w:val="24"/>
          <w:highlight w:val="none"/>
          <w:lang w:val="en-US" w:eastAsia="zh-CN"/>
        </w:rPr>
        <w:t>得分最高</w:t>
      </w:r>
      <w:r>
        <w:rPr>
          <w:rFonts w:hint="eastAsia" w:ascii="宋体" w:hAnsi="宋体" w:eastAsia="宋体" w:cs="宋体"/>
          <w:color w:val="auto"/>
          <w:kern w:val="0"/>
          <w:sz w:val="24"/>
          <w:szCs w:val="24"/>
          <w:highlight w:val="none"/>
        </w:rPr>
        <w:t>原则确定成交供应商</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评分标准</w:t>
      </w:r>
    </w:p>
    <w:tbl>
      <w:tblPr>
        <w:tblStyle w:val="10"/>
        <w:tblW w:w="91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33"/>
        <w:gridCol w:w="1060"/>
        <w:gridCol w:w="539"/>
        <w:gridCol w:w="4726"/>
        <w:gridCol w:w="23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beforeAutospacing="0"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0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beforeAutospacing="0"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评分因素及权重</w:t>
            </w:r>
          </w:p>
        </w:tc>
        <w:tc>
          <w:tcPr>
            <w:tcW w:w="5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beforeAutospacing="0"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47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beforeAutospacing="0" w:line="360" w:lineRule="auto"/>
              <w:ind w:firstLine="480" w:firstLineChars="20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c>
          <w:tcPr>
            <w:tcW w:w="231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beforeAutospacing="0"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1"/>
              </w:numPr>
              <w:kinsoku/>
              <w:wordWrap/>
              <w:overflowPunct/>
              <w:topLinePunct w:val="0"/>
              <w:bidi w:val="0"/>
              <w:snapToGrid w:val="0"/>
              <w:spacing w:beforeAutospacing="0" w:line="360" w:lineRule="auto"/>
              <w:jc w:val="center"/>
              <w:textAlignment w:val="baseline"/>
              <w:rPr>
                <w:rFonts w:hint="eastAsia" w:ascii="宋体" w:hAnsi="宋体" w:eastAsia="宋体" w:cs="宋体"/>
                <w:color w:val="auto"/>
                <w:kern w:val="0"/>
                <w:sz w:val="24"/>
                <w:szCs w:val="24"/>
                <w:highlight w:val="none"/>
              </w:rPr>
            </w:pPr>
          </w:p>
        </w:tc>
        <w:tc>
          <w:tcPr>
            <w:tcW w:w="10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beforeAutospacing="0"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报价</w:t>
            </w:r>
          </w:p>
        </w:tc>
        <w:tc>
          <w:tcPr>
            <w:tcW w:w="5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beforeAutospacing="0" w:line="360" w:lineRule="auto"/>
              <w:jc w:val="center"/>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47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beforeAutospacing="0" w:line="360"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满足磋商文件要求且</w:t>
            </w:r>
            <w:r>
              <w:rPr>
                <w:rFonts w:hint="eastAsia" w:ascii="宋体" w:hAnsi="宋体" w:eastAsia="宋体" w:cs="宋体"/>
                <w:color w:val="auto"/>
                <w:sz w:val="24"/>
                <w:szCs w:val="24"/>
                <w:highlight w:val="none"/>
                <w:lang w:eastAsia="zh-CN"/>
              </w:rPr>
              <w:t>经评审的有效投标人的投标报价的最低价作</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评分</w:t>
            </w:r>
            <w:r>
              <w:rPr>
                <w:rFonts w:hint="eastAsia" w:ascii="宋体" w:hAnsi="宋体" w:eastAsia="宋体" w:cs="宋体"/>
                <w:color w:val="auto"/>
                <w:sz w:val="24"/>
                <w:szCs w:val="24"/>
                <w:highlight w:val="none"/>
              </w:rPr>
              <w:t>基准价，其价格分为满分，其</w:t>
            </w:r>
            <w:r>
              <w:rPr>
                <w:rFonts w:hint="eastAsia" w:ascii="宋体" w:hAnsi="宋体" w:eastAsia="宋体" w:cs="宋体"/>
                <w:color w:val="auto"/>
                <w:sz w:val="24"/>
                <w:szCs w:val="24"/>
                <w:highlight w:val="none"/>
                <w:lang w:eastAsia="zh-CN"/>
              </w:rPr>
              <w:t>余</w:t>
            </w: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eastAsia="zh-CN"/>
              </w:rPr>
              <w:t>评分</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30</w:t>
            </w:r>
          </w:p>
        </w:tc>
        <w:tc>
          <w:tcPr>
            <w:tcW w:w="231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before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根据川财采[2015]33号文，对供应商的失信行为给予10%/次的报价累加加成，用调整后的价格参与评审。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1"/>
              </w:numPr>
              <w:kinsoku/>
              <w:wordWrap/>
              <w:overflowPunct/>
              <w:topLinePunct w:val="0"/>
              <w:bidi w:val="0"/>
              <w:snapToGrid w:val="0"/>
              <w:spacing w:beforeAutospacing="0" w:line="360" w:lineRule="auto"/>
              <w:jc w:val="center"/>
              <w:textAlignment w:val="baseline"/>
              <w:rPr>
                <w:rFonts w:hint="eastAsia" w:ascii="宋体" w:hAnsi="宋体" w:eastAsia="宋体" w:cs="宋体"/>
                <w:color w:val="auto"/>
                <w:kern w:val="0"/>
                <w:sz w:val="24"/>
                <w:szCs w:val="24"/>
                <w:highlight w:val="none"/>
              </w:rPr>
            </w:pPr>
          </w:p>
        </w:tc>
        <w:tc>
          <w:tcPr>
            <w:tcW w:w="10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before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施工方案与技术措施</w:t>
            </w:r>
          </w:p>
        </w:tc>
        <w:tc>
          <w:tcPr>
            <w:tcW w:w="5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beforeAutospacing="0"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7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before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根据供应商针对本项目编制的施工方案与技术措施,方案内容完整、合理可行、内容条理清晰、措施操作性强的得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分；方案内容完整、合理性较强、内容条理较为清晰、措施操作性较强的得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分；方案内容基本完整、内容基本合理、内容条理清晰性一般、措施操作性一般的得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分。未提供不得分。</w:t>
            </w:r>
          </w:p>
        </w:tc>
        <w:tc>
          <w:tcPr>
            <w:tcW w:w="2310" w:type="dxa"/>
            <w:tcBorders>
              <w:top w:val="single" w:color="auto" w:sz="8" w:space="0"/>
              <w:left w:val="single" w:color="auto" w:sz="8" w:space="0"/>
              <w:bottom w:val="single" w:color="auto" w:sz="8" w:space="0"/>
              <w:right w:val="single" w:color="auto" w:sz="8" w:space="0"/>
            </w:tcBorders>
            <w:noWrap w:val="0"/>
            <w:vAlign w:val="center"/>
          </w:tcPr>
          <w:p>
            <w:pPr>
              <w:pStyle w:val="12"/>
              <w:keepNext w:val="0"/>
              <w:keepLines w:val="0"/>
              <w:pageBreakBefore w:val="0"/>
              <w:widowControl/>
              <w:tabs>
                <w:tab w:val="left" w:pos="1418"/>
              </w:tabs>
              <w:kinsoku/>
              <w:wordWrap/>
              <w:overflowPunct/>
              <w:topLinePunct w:val="0"/>
              <w:bidi w:val="0"/>
              <w:spacing w:beforeAutospacing="0" w:line="360" w:lineRule="auto"/>
              <w:ind w:firstLine="0" w:firstLineChars="0"/>
              <w:textAlignment w:val="baseline"/>
              <w:rPr>
                <w:rFonts w:hint="eastAsia" w:ascii="宋体" w:hAnsi="宋体" w:eastAsia="宋体" w:cs="宋体"/>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1"/>
              </w:numPr>
              <w:kinsoku/>
              <w:wordWrap/>
              <w:overflowPunct/>
              <w:topLinePunct w:val="0"/>
              <w:bidi w:val="0"/>
              <w:snapToGrid w:val="0"/>
              <w:spacing w:beforeAutospacing="0" w:line="360" w:lineRule="auto"/>
              <w:jc w:val="center"/>
              <w:textAlignment w:val="baseline"/>
              <w:rPr>
                <w:rFonts w:hint="eastAsia" w:ascii="宋体" w:hAnsi="宋体" w:eastAsia="宋体" w:cs="宋体"/>
                <w:color w:val="auto"/>
                <w:kern w:val="0"/>
                <w:sz w:val="24"/>
                <w:szCs w:val="24"/>
                <w:highlight w:val="none"/>
              </w:rPr>
            </w:pPr>
          </w:p>
        </w:tc>
        <w:tc>
          <w:tcPr>
            <w:tcW w:w="1060" w:type="dxa"/>
            <w:tcBorders>
              <w:top w:val="single" w:color="auto" w:sz="8" w:space="0"/>
              <w:left w:val="single" w:color="auto" w:sz="8" w:space="0"/>
              <w:bottom w:val="single" w:color="auto" w:sz="8" w:space="0"/>
              <w:right w:val="single" w:color="auto" w:sz="8" w:space="0"/>
            </w:tcBorders>
            <w:noWrap w:val="0"/>
            <w:vAlign w:val="center"/>
          </w:tcPr>
          <w:p>
            <w:pPr>
              <w:pStyle w:val="13"/>
              <w:keepNext w:val="0"/>
              <w:keepLines w:val="0"/>
              <w:pageBreakBefore w:val="0"/>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质量管理体系与措施</w:t>
            </w:r>
          </w:p>
        </w:tc>
        <w:tc>
          <w:tcPr>
            <w:tcW w:w="539" w:type="dxa"/>
            <w:tcBorders>
              <w:top w:val="single" w:color="auto" w:sz="8" w:space="0"/>
              <w:left w:val="single" w:color="auto" w:sz="8" w:space="0"/>
              <w:bottom w:val="single" w:color="auto" w:sz="8" w:space="0"/>
              <w:right w:val="single" w:color="auto" w:sz="8" w:space="0"/>
            </w:tcBorders>
            <w:noWrap w:val="0"/>
            <w:vAlign w:val="center"/>
          </w:tcPr>
          <w:p>
            <w:pPr>
              <w:pStyle w:val="13"/>
              <w:keepNext w:val="0"/>
              <w:keepLines w:val="0"/>
              <w:pageBreakBefore w:val="0"/>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9</w:t>
            </w:r>
          </w:p>
        </w:tc>
        <w:tc>
          <w:tcPr>
            <w:tcW w:w="4726" w:type="dxa"/>
            <w:tcBorders>
              <w:top w:val="single" w:color="auto" w:sz="8" w:space="0"/>
              <w:left w:val="single" w:color="auto" w:sz="8" w:space="0"/>
              <w:bottom w:val="single" w:color="auto" w:sz="8" w:space="0"/>
              <w:right w:val="single" w:color="auto" w:sz="8" w:space="0"/>
            </w:tcBorders>
            <w:noWrap w:val="0"/>
            <w:vAlign w:val="center"/>
          </w:tcPr>
          <w:p>
            <w:pPr>
              <w:pStyle w:val="14"/>
              <w:keepNext w:val="0"/>
              <w:keepLines w:val="0"/>
              <w:pageBreakBefore w:val="0"/>
              <w:kinsoku/>
              <w:wordWrap/>
              <w:overflowPunct/>
              <w:topLinePunct w:val="0"/>
              <w:bidi w:val="0"/>
              <w:spacing w:beforeAutospacing="0" w:line="360" w:lineRule="auto"/>
              <w:ind w:left="0" w:leftChars="0" w:right="105" w:rightChars="50"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根据供应商针对本项目编制的质量管理体系与措施,内容完整、合理可行、内容条理清晰、措施操作性强的得9分；内容完整、合理性较强、内容条理较为清晰、措施操作性较强的得6分；内容基本完整、各项措施基本合理、内容条理清晰性一般、措施操作性一般的得3分。未提供不得分。</w:t>
            </w:r>
          </w:p>
        </w:tc>
        <w:tc>
          <w:tcPr>
            <w:tcW w:w="2310" w:type="dxa"/>
            <w:tcBorders>
              <w:top w:val="single" w:color="auto" w:sz="8" w:space="0"/>
              <w:left w:val="single" w:color="auto" w:sz="8" w:space="0"/>
              <w:bottom w:val="single" w:color="auto" w:sz="8" w:space="0"/>
              <w:right w:val="single" w:color="auto" w:sz="8" w:space="0"/>
            </w:tcBorders>
            <w:noWrap w:val="0"/>
            <w:vAlign w:val="center"/>
          </w:tcPr>
          <w:p>
            <w:pPr>
              <w:pStyle w:val="3"/>
              <w:keepNext w:val="0"/>
              <w:keepLines w:val="0"/>
              <w:pageBreakBefore w:val="0"/>
              <w:kinsoku/>
              <w:wordWrap/>
              <w:overflowPunct/>
              <w:topLinePunct w:val="0"/>
              <w:bidi w:val="0"/>
              <w:snapToGrid w:val="0"/>
              <w:spacing w:beforeAutospacing="0"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1"/>
              </w:numPr>
              <w:kinsoku/>
              <w:wordWrap/>
              <w:overflowPunct/>
              <w:topLinePunct w:val="0"/>
              <w:bidi w:val="0"/>
              <w:snapToGrid w:val="0"/>
              <w:spacing w:beforeAutospacing="0" w:line="360" w:lineRule="auto"/>
              <w:textAlignment w:val="baseline"/>
              <w:rPr>
                <w:rFonts w:hint="eastAsia" w:ascii="宋体" w:hAnsi="宋体" w:eastAsia="宋体" w:cs="宋体"/>
                <w:color w:val="auto"/>
                <w:kern w:val="0"/>
                <w:sz w:val="24"/>
                <w:szCs w:val="24"/>
                <w:highlight w:val="none"/>
              </w:rPr>
            </w:pPr>
          </w:p>
        </w:tc>
        <w:tc>
          <w:tcPr>
            <w:tcW w:w="10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beforeAutospacing="0" w:line="360" w:lineRule="auto"/>
              <w:ind w:firstLine="28"/>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安全管理体系与措施</w:t>
            </w:r>
          </w:p>
        </w:tc>
        <w:tc>
          <w:tcPr>
            <w:tcW w:w="5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beforeAutospacing="0" w:line="360" w:lineRule="auto"/>
              <w:ind w:firstLine="28"/>
              <w:jc w:val="center"/>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9</w:t>
            </w:r>
          </w:p>
        </w:tc>
        <w:tc>
          <w:tcPr>
            <w:tcW w:w="47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根据供应商针对本项目编制的安全管理体系与保证措施，内容完整、合理可行、内容条理清晰、措施操作性强的得9分；内容基本完整、各项措施基本合理的得6分；内容条理清晰性一般、措施操作性一般的得3分。未提供不得分。</w:t>
            </w:r>
          </w:p>
        </w:tc>
        <w:tc>
          <w:tcPr>
            <w:tcW w:w="231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beforeAutospacing="0" w:line="360" w:lineRule="auto"/>
              <w:textAlignment w:val="baseline"/>
              <w:rPr>
                <w:rFonts w:hint="eastAsia" w:ascii="宋体" w:hAnsi="宋体" w:eastAsia="宋体" w:cs="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1"/>
              </w:numPr>
              <w:kinsoku/>
              <w:wordWrap/>
              <w:overflowPunct/>
              <w:topLinePunct w:val="0"/>
              <w:bidi w:val="0"/>
              <w:snapToGrid w:val="0"/>
              <w:spacing w:beforeAutospacing="0" w:line="360" w:lineRule="auto"/>
              <w:textAlignment w:val="baseline"/>
              <w:rPr>
                <w:rFonts w:hint="eastAsia" w:ascii="宋体" w:hAnsi="宋体" w:eastAsia="宋体" w:cs="宋体"/>
                <w:color w:val="auto"/>
                <w:kern w:val="0"/>
                <w:sz w:val="24"/>
                <w:szCs w:val="24"/>
                <w:highlight w:val="none"/>
              </w:rPr>
            </w:pPr>
          </w:p>
        </w:tc>
        <w:tc>
          <w:tcPr>
            <w:tcW w:w="10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环境保护管理体系、文明作业与措施</w:t>
            </w:r>
          </w:p>
        </w:tc>
        <w:tc>
          <w:tcPr>
            <w:tcW w:w="5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9</w:t>
            </w:r>
          </w:p>
        </w:tc>
        <w:tc>
          <w:tcPr>
            <w:tcW w:w="47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根据供应商针对本项目编制的环境保护管理体系与文明施工措施，内容完整、合理可行、内容条理清晰、措施操作性强的得9分；内容基本完整、各项措施基本合理的得6分；内容条理清晰性一般、措施操作性一般的得3分。未提供不得分。</w:t>
            </w:r>
          </w:p>
        </w:tc>
        <w:tc>
          <w:tcPr>
            <w:tcW w:w="231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beforeAutospacing="0" w:line="360" w:lineRule="auto"/>
              <w:textAlignment w:val="baseline"/>
              <w:rPr>
                <w:rFonts w:hint="eastAsia" w:ascii="宋体" w:hAnsi="宋体" w:eastAsia="宋体" w:cs="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1"/>
              </w:numPr>
              <w:kinsoku/>
              <w:wordWrap/>
              <w:overflowPunct/>
              <w:topLinePunct w:val="0"/>
              <w:bidi w:val="0"/>
              <w:snapToGrid w:val="0"/>
              <w:spacing w:beforeAutospacing="0" w:line="360" w:lineRule="auto"/>
              <w:textAlignment w:val="baseline"/>
              <w:rPr>
                <w:rFonts w:hint="eastAsia" w:ascii="宋体" w:hAnsi="宋体" w:eastAsia="宋体" w:cs="宋体"/>
                <w:color w:val="auto"/>
                <w:kern w:val="0"/>
                <w:sz w:val="24"/>
                <w:szCs w:val="24"/>
                <w:highlight w:val="none"/>
              </w:rPr>
            </w:pPr>
          </w:p>
        </w:tc>
        <w:tc>
          <w:tcPr>
            <w:tcW w:w="10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工程进度计划与措施</w:t>
            </w:r>
          </w:p>
        </w:tc>
        <w:tc>
          <w:tcPr>
            <w:tcW w:w="5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9</w:t>
            </w:r>
          </w:p>
        </w:tc>
        <w:tc>
          <w:tcPr>
            <w:tcW w:w="47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根据供应商针对本项目编制的工程进度计划与措施进行综合评审,可操作性强的9分；工程进度计划较为合理详尽，关键路径较为准确、清晰，逻辑关系基本正确，措施能基本保证工期计划实现、可操作性较强的得6分；内容条理清晰性一般、措施操作性一般的得3分，未提供不得分。</w:t>
            </w:r>
          </w:p>
        </w:tc>
        <w:tc>
          <w:tcPr>
            <w:tcW w:w="231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beforeAutospacing="0" w:line="360" w:lineRule="auto"/>
              <w:textAlignment w:val="baseline"/>
              <w:rPr>
                <w:rFonts w:hint="eastAsia" w:ascii="宋体" w:hAnsi="宋体" w:eastAsia="宋体" w:cs="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p>
        </w:tc>
        <w:tc>
          <w:tcPr>
            <w:tcW w:w="10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资源、机 械配备计划</w:t>
            </w:r>
          </w:p>
        </w:tc>
        <w:tc>
          <w:tcPr>
            <w:tcW w:w="5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6</w:t>
            </w:r>
          </w:p>
        </w:tc>
        <w:tc>
          <w:tcPr>
            <w:tcW w:w="47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根据供应商提供的方案进行综合评审，资源配备计划与措施详尽完善，设备良好充分，工人工种齐全完备6分；劳动力计划基本完善，设备基本良好的得3分，未提供不得分。</w:t>
            </w:r>
          </w:p>
        </w:tc>
        <w:tc>
          <w:tcPr>
            <w:tcW w:w="231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beforeAutospacing="0" w:line="360" w:lineRule="auto"/>
              <w:textAlignment w:val="baseline"/>
              <w:rPr>
                <w:rFonts w:hint="eastAsia" w:ascii="宋体" w:hAnsi="宋体" w:eastAsia="宋体" w:cs="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1"/>
              </w:numPr>
              <w:kinsoku/>
              <w:wordWrap/>
              <w:overflowPunct/>
              <w:topLinePunct w:val="0"/>
              <w:bidi w:val="0"/>
              <w:snapToGrid w:val="0"/>
              <w:spacing w:beforeAutospacing="0" w:line="360" w:lineRule="auto"/>
              <w:textAlignment w:val="baseline"/>
              <w:rPr>
                <w:rFonts w:hint="eastAsia" w:ascii="宋体" w:hAnsi="宋体" w:eastAsia="宋体" w:cs="宋体"/>
                <w:color w:val="auto"/>
                <w:kern w:val="0"/>
                <w:sz w:val="24"/>
                <w:szCs w:val="24"/>
                <w:highlight w:val="none"/>
              </w:rPr>
            </w:pPr>
          </w:p>
        </w:tc>
        <w:tc>
          <w:tcPr>
            <w:tcW w:w="10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人员配置</w:t>
            </w:r>
          </w:p>
        </w:tc>
        <w:tc>
          <w:tcPr>
            <w:tcW w:w="5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14</w:t>
            </w:r>
          </w:p>
        </w:tc>
        <w:tc>
          <w:tcPr>
            <w:tcW w:w="47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1、项目经理：</w:t>
            </w:r>
          </w:p>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拟派本项目的项目经理具有建筑专业建造师证书及安全考核合格证（B证）的得3分，具有建筑工程类职称的得2分，本项最多得5分；</w:t>
            </w:r>
          </w:p>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2、技术负责人：</w:t>
            </w:r>
          </w:p>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具有工程相关专业中级职称证书得3分，具有工程相关专业高级职称证书得5分，本项最多得5分；</w:t>
            </w:r>
          </w:p>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3、其他主要人员：</w:t>
            </w:r>
          </w:p>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具有安全员、施工员、质量员、材料员及资料员的得4分；每缺一个人员种类扣1分，扣完为止，未提供不得分，本项最多得4分。</w:t>
            </w:r>
          </w:p>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注：1、以上人员不重复计分。</w:t>
            </w:r>
          </w:p>
        </w:tc>
        <w:tc>
          <w:tcPr>
            <w:tcW w:w="231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beforeAutospacing="0" w:line="360" w:lineRule="auto"/>
              <w:textAlignment w:val="baseline"/>
              <w:rPr>
                <w:rFonts w:hint="eastAsia" w:ascii="宋体" w:hAnsi="宋体" w:eastAsia="宋体" w:cs="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1"/>
              </w:numPr>
              <w:kinsoku/>
              <w:wordWrap/>
              <w:overflowPunct/>
              <w:topLinePunct w:val="0"/>
              <w:bidi w:val="0"/>
              <w:snapToGrid w:val="0"/>
              <w:spacing w:beforeAutospacing="0" w:line="360" w:lineRule="auto"/>
              <w:textAlignment w:val="baseline"/>
              <w:rPr>
                <w:rFonts w:hint="eastAsia" w:ascii="宋体" w:hAnsi="宋体" w:eastAsia="宋体" w:cs="宋体"/>
                <w:color w:val="auto"/>
                <w:kern w:val="0"/>
                <w:sz w:val="24"/>
                <w:szCs w:val="24"/>
                <w:highlight w:val="none"/>
              </w:rPr>
            </w:pPr>
          </w:p>
        </w:tc>
        <w:tc>
          <w:tcPr>
            <w:tcW w:w="10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业绩</w:t>
            </w:r>
          </w:p>
        </w:tc>
        <w:tc>
          <w:tcPr>
            <w:tcW w:w="5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w:t>
            </w:r>
          </w:p>
        </w:tc>
        <w:tc>
          <w:tcPr>
            <w:tcW w:w="47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2020年1月1日以来每具一个类似项目工程建设业绩的得1分，最多得5分；</w:t>
            </w:r>
          </w:p>
          <w:p>
            <w:pPr>
              <w:keepNext w:val="0"/>
              <w:keepLines w:val="0"/>
              <w:pageBreakBefore w:val="0"/>
              <w:widowControl/>
              <w:kinsoku/>
              <w:wordWrap/>
              <w:overflowPunct/>
              <w:topLinePunct w:val="0"/>
              <w:bidi w:val="0"/>
              <w:spacing w:beforeAutospacing="0"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注：提供中标（成交）通知书或合同协议书复印件并加盖公章。</w:t>
            </w:r>
          </w:p>
        </w:tc>
        <w:tc>
          <w:tcPr>
            <w:tcW w:w="231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beforeAutospacing="0" w:line="360" w:lineRule="auto"/>
              <w:textAlignment w:val="baseline"/>
              <w:rPr>
                <w:rFonts w:hint="eastAsia" w:ascii="宋体" w:hAnsi="宋体" w:eastAsia="宋体" w:cs="宋体"/>
                <w:color w:val="auto"/>
                <w:kern w:val="0"/>
                <w:sz w:val="24"/>
                <w:szCs w:val="24"/>
                <w:highlight w:val="none"/>
              </w:rPr>
            </w:pPr>
          </w:p>
        </w:tc>
      </w:tr>
    </w:tbl>
    <w:p>
      <w:pPr>
        <w:pStyle w:val="15"/>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lang w:val="en-US" w:eastAsia="zh-CN"/>
        </w:rPr>
        <w:t>四</w:t>
      </w:r>
      <w:r>
        <w:rPr>
          <w:rFonts w:hint="eastAsia" w:ascii="宋体" w:hAnsi="宋体" w:eastAsia="宋体" w:cs="宋体"/>
          <w:b/>
          <w:bCs/>
          <w:i w:val="0"/>
          <w:caps w:val="0"/>
          <w:color w:val="auto"/>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pPr>
        <w:keepNext w:val="0"/>
        <w:keepLines w:val="0"/>
        <w:pageBreakBefore w:val="0"/>
        <w:tabs>
          <w:tab w:val="left" w:pos="264"/>
        </w:tabs>
        <w:kinsoku/>
        <w:wordWrap/>
        <w:overflowPunct/>
        <w:topLinePunct w:val="0"/>
        <w:autoSpaceDE/>
        <w:autoSpaceDN/>
        <w:bidi w:val="0"/>
        <w:adjustRightInd/>
        <w:spacing w:beforeAutospacing="0" w:afterAutospacing="0" w:line="360" w:lineRule="auto"/>
        <w:jc w:val="left"/>
        <w:rPr>
          <w:rFonts w:hint="eastAsia" w:ascii="宋体" w:hAnsi="宋体" w:eastAsia="宋体" w:cs="宋体"/>
          <w:color w:val="auto"/>
          <w:sz w:val="24"/>
          <w:szCs w:val="24"/>
          <w:highlight w:val="none"/>
          <w:lang w:val="en-US" w:eastAsia="zh-CN"/>
        </w:rPr>
        <w:sectPr>
          <w:pgSz w:w="11906" w:h="16838"/>
          <w:pgMar w:top="1134" w:right="1417" w:bottom="1134" w:left="1417" w:header="851" w:footer="992" w:gutter="0"/>
          <w:cols w:space="720" w:num="1"/>
        </w:sect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品目及报价表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885"/>
        <w:gridCol w:w="14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885"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单价（元）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小计（元）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9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885"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9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p>
        </w:tc>
        <w:tc>
          <w:tcPr>
            <w:tcW w:w="1885"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9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p>
        </w:tc>
        <w:tc>
          <w:tcPr>
            <w:tcW w:w="1885"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2"/>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3"/>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3"/>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3"/>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3"/>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16"/>
        <w:snapToGrid w:val="0"/>
        <w:spacing w:beforeLines="100" w:afterLines="10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7"/>
        <w:rPr>
          <w:rFonts w:hint="eastAsia" w:ascii="宋体" w:hAnsi="宋体" w:eastAsia="宋体" w:cs="宋体"/>
          <w:color w:val="auto"/>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0"/>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pStyle w:val="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napToGrid w:val="0"/>
        <w:spacing w:line="360" w:lineRule="auto"/>
        <w:textAlignment w:val="baseline"/>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7"/>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3"/>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r>
        <w:rPr>
          <w:rFonts w:hint="eastAsia" w:ascii="宋体" w:hAnsi="宋体" w:eastAsia="宋体" w:cs="宋体"/>
          <w:bCs/>
          <w:color w:val="auto"/>
          <w:sz w:val="24"/>
          <w:szCs w:val="24"/>
          <w:highlight w:val="none"/>
          <w:lang w:val="en-US" w:eastAsia="zh-CN"/>
        </w:rPr>
        <w:t>及其它承诺</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3"/>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9"/>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9"/>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w:t>
      </w:r>
      <w:bookmarkStart w:id="0" w:name="_GoBack"/>
      <w:bookmarkEnd w:id="0"/>
      <w:r>
        <w:rPr>
          <w:rFonts w:hint="eastAsia" w:ascii="宋体" w:hAnsi="宋体" w:eastAsia="宋体" w:cs="宋体"/>
          <w:color w:val="auto"/>
          <w:sz w:val="24"/>
          <w:szCs w:val="24"/>
          <w:highlight w:val="none"/>
        </w:rPr>
        <w:t>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rPr>
          <w:rFonts w:hint="eastAsia" w:ascii="宋体" w:hAnsi="宋体" w:eastAsia="宋体" w:cs="宋体"/>
          <w:sz w:val="24"/>
          <w:szCs w:val="24"/>
          <w:highlight w:val="none"/>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03779D67"/>
    <w:multiLevelType w:val="singleLevel"/>
    <w:tmpl w:val="03779D67"/>
    <w:lvl w:ilvl="0" w:tentative="0">
      <w:start w:val="1"/>
      <w:numFmt w:val="decimal"/>
      <w:lvlText w:val="%1."/>
      <w:lvlJc w:val="left"/>
      <w:pPr>
        <w:ind w:left="425" w:hanging="425"/>
      </w:pPr>
      <w:rPr>
        <w:rFonts w:hint="default"/>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5586C"/>
    <w:rsid w:val="072C4411"/>
    <w:rsid w:val="0B197A17"/>
    <w:rsid w:val="15617338"/>
    <w:rsid w:val="178B7304"/>
    <w:rsid w:val="17F25FAE"/>
    <w:rsid w:val="27A1402A"/>
    <w:rsid w:val="2940376A"/>
    <w:rsid w:val="2A65586C"/>
    <w:rsid w:val="2B5C1C1D"/>
    <w:rsid w:val="2B710DDE"/>
    <w:rsid w:val="2CBF2949"/>
    <w:rsid w:val="2DA74C73"/>
    <w:rsid w:val="368F40C8"/>
    <w:rsid w:val="36B601B2"/>
    <w:rsid w:val="3AC55BE5"/>
    <w:rsid w:val="41415088"/>
    <w:rsid w:val="43040088"/>
    <w:rsid w:val="4B4B2546"/>
    <w:rsid w:val="53814925"/>
    <w:rsid w:val="5522700B"/>
    <w:rsid w:val="573D42CA"/>
    <w:rsid w:val="59740105"/>
    <w:rsid w:val="5C0962C1"/>
    <w:rsid w:val="5C594349"/>
    <w:rsid w:val="5CEC0734"/>
    <w:rsid w:val="5DC272DB"/>
    <w:rsid w:val="61BB763D"/>
    <w:rsid w:val="649E5E7F"/>
    <w:rsid w:val="66EC498C"/>
    <w:rsid w:val="689F2589"/>
    <w:rsid w:val="7293345C"/>
    <w:rsid w:val="7E84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style>
  <w:style w:type="paragraph" w:styleId="4">
    <w:name w:val="Body Text First Indent"/>
    <w:basedOn w:val="3"/>
    <w:next w:val="1"/>
    <w:qFormat/>
    <w:uiPriority w:val="0"/>
    <w:pPr>
      <w:widowControl w:val="0"/>
      <w:ind w:firstLine="420" w:firstLineChars="100"/>
      <w:jc w:val="both"/>
    </w:pPr>
    <w:rPr>
      <w:rFonts w:ascii="宋体"/>
      <w:sz w:val="34"/>
      <w:szCs w:val="22"/>
    </w:r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spacing w:line="460" w:lineRule="exact"/>
      <w:ind w:firstLine="567"/>
    </w:pPr>
    <w:rPr>
      <w:rFonts w:ascii="宋体" w:hAnsi="Courier New" w:eastAsia="仿宋_GB2312"/>
      <w:sz w:val="28"/>
      <w:szCs w:val="20"/>
    </w:rPr>
  </w:style>
  <w:style w:type="paragraph" w:styleId="7">
    <w:name w:val="toc 1"/>
    <w:basedOn w:val="1"/>
    <w:next w:val="1"/>
    <w:qFormat/>
    <w:uiPriority w:val="0"/>
    <w:pPr>
      <w:spacing w:line="180" w:lineRule="auto"/>
      <w:jc w:val="center"/>
    </w:pPr>
    <w:rPr>
      <w:sz w:val="30"/>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Body Text First Indent 2"/>
    <w:basedOn w:val="5"/>
    <w:qFormat/>
    <w:uiPriority w:val="0"/>
    <w:pPr>
      <w:ind w:firstLine="420"/>
    </w:pPr>
  </w:style>
  <w:style w:type="paragraph" w:customStyle="1" w:styleId="12">
    <w:name w:val="List Paragraph"/>
    <w:basedOn w:val="1"/>
    <w:qFormat/>
    <w:uiPriority w:val="0"/>
    <w:pPr>
      <w:ind w:firstLine="420" w:firstLineChars="200"/>
    </w:pPr>
    <w:rPr>
      <w:rFonts w:ascii="等线" w:hAnsi="等线" w:eastAsia="等线" w:cs="Times New Roman"/>
    </w:rPr>
  </w:style>
  <w:style w:type="paragraph" w:customStyle="1" w:styleId="13">
    <w:name w:val="16表格居中"/>
    <w:basedOn w:val="1"/>
    <w:qFormat/>
    <w:uiPriority w:val="99"/>
    <w:pPr>
      <w:autoSpaceDE w:val="0"/>
      <w:autoSpaceDN w:val="0"/>
      <w:adjustRightInd w:val="0"/>
      <w:spacing w:line="400" w:lineRule="atLeast"/>
      <w:jc w:val="center"/>
    </w:pPr>
    <w:rPr>
      <w:rFonts w:ascii="宋体" w:hAnsi="宋体" w:eastAsia="方正仿宋简体"/>
      <w:b/>
      <w:color w:val="000000"/>
      <w:kern w:val="0"/>
      <w:szCs w:val="21"/>
      <w:lang w:val="zh-CN"/>
    </w:rPr>
  </w:style>
  <w:style w:type="paragraph" w:customStyle="1" w:styleId="14">
    <w:name w:val="17表格缩进"/>
    <w:basedOn w:val="1"/>
    <w:qFormat/>
    <w:uiPriority w:val="99"/>
    <w:pPr>
      <w:adjustRightInd w:val="0"/>
      <w:snapToGrid w:val="0"/>
      <w:spacing w:line="400" w:lineRule="atLeast"/>
      <w:ind w:left="50" w:leftChars="50" w:right="50" w:rightChars="50" w:firstLine="200" w:firstLineChars="200"/>
    </w:pPr>
    <w:rPr>
      <w:rFonts w:ascii="Times New Roman" w:hAnsi="Times New Roman" w:eastAsia="方正仿宋简体"/>
      <w:b/>
      <w:color w:val="000000"/>
      <w:kern w:val="0"/>
      <w:szCs w:val="21"/>
      <w:lang w:val="zh-CN"/>
    </w:rPr>
  </w:style>
  <w:style w:type="paragraph" w:customStyle="1" w:styleId="15">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GW-正文"/>
    <w:basedOn w:val="1"/>
    <w:qFormat/>
    <w:uiPriority w:val="0"/>
    <w:pPr>
      <w:spacing w:line="360" w:lineRule="auto"/>
      <w:ind w:firstLine="200" w:firstLineChars="200"/>
    </w:pPr>
    <w:rPr>
      <w:rFonts w:eastAsia="仿宋_GB2312"/>
      <w:sz w:val="24"/>
      <w:szCs w:val="24"/>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2023-09-14T07:24:00Z</dcterms:created>
  <dc:creator>罗珊珊</dc:creator>
  <cp:lastModifiedBy>罗珊珊</cp:lastModifiedBy>
  <cp:lastPrinted>2023-10-09T03:33:00Z</cp:lastPrinted>
  <dcterms:modified xsi:type="dcterms:W3CDTF">2023-10-19T01:52:42Z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