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bookmarkStart w:id="0" w:name="_Toc217446094"/>
    </w:p>
    <w:p>
      <w:pPr>
        <w:pStyle w:val="3"/>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一、采购项目编号：SCFY-YXZB202310-06（询）</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二、年度采购预算：</w:t>
      </w:r>
      <w:r>
        <w:rPr>
          <w:rFonts w:hint="eastAsia" w:ascii="宋体" w:hAnsi="宋体" w:eastAsia="宋体" w:cs="仿宋"/>
          <w:sz w:val="24"/>
          <w:szCs w:val="24"/>
          <w:lang w:val="en-US" w:eastAsia="zh-CN"/>
        </w:rPr>
        <w:t>0.15</w:t>
      </w:r>
      <w:r>
        <w:rPr>
          <w:rFonts w:hint="eastAsia" w:ascii="宋体" w:hAnsi="宋体" w:eastAsia="宋体" w:cs="仿宋"/>
          <w:sz w:val="24"/>
          <w:szCs w:val="24"/>
        </w:rPr>
        <w:t>万元/年</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 xml:space="preserve">三、 </w:t>
      </w:r>
      <w:bookmarkEnd w:id="0"/>
      <w:bookmarkStart w:id="1" w:name="_Toc217446095"/>
      <w:r>
        <w:rPr>
          <w:rFonts w:hint="eastAsia" w:ascii="宋体" w:hAnsi="宋体" w:eastAsia="宋体" w:cs="仿宋"/>
          <w:sz w:val="24"/>
          <w:szCs w:val="24"/>
        </w:rPr>
        <w:t>项目清单及技术</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bookmarkEnd w:id="1"/>
    <w:tbl>
      <w:tblPr>
        <w:tblStyle w:val="12"/>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41"/>
        <w:gridCol w:w="948"/>
        <w:gridCol w:w="696"/>
        <w:gridCol w:w="948"/>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66"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1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67"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343"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67"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3037"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66" w:type="pct"/>
            <w:vMerge w:val="continue"/>
            <w:noWrap w:val="0"/>
            <w:vAlign w:val="center"/>
          </w:tcPr>
          <w:p>
            <w:pPr>
              <w:spacing w:line="420" w:lineRule="exact"/>
              <w:jc w:val="center"/>
              <w:rPr>
                <w:rFonts w:hint="eastAsia" w:cs="宋体"/>
                <w:color w:val="000000"/>
                <w:kern w:val="0"/>
              </w:rPr>
            </w:pPr>
          </w:p>
        </w:tc>
        <w:tc>
          <w:tcPr>
            <w:tcW w:w="217"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6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default" w:ascii="宋体" w:hAnsi="宋体" w:eastAsia="宋体"/>
                <w:lang w:val="en-US" w:eastAsia="zh-CN"/>
              </w:rPr>
              <w:t>HIV快检试剂</w:t>
            </w:r>
          </w:p>
        </w:tc>
        <w:tc>
          <w:tcPr>
            <w:tcW w:w="343"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6元</w:t>
            </w:r>
          </w:p>
        </w:tc>
        <w:tc>
          <w:tcPr>
            <w:tcW w:w="46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250人份</w:t>
            </w:r>
          </w:p>
        </w:tc>
        <w:tc>
          <w:tcPr>
            <w:tcW w:w="3037" w:type="pct"/>
            <w:noWrap w:val="0"/>
            <w:vAlign w:val="top"/>
          </w:tcPr>
          <w:p>
            <w:pPr>
              <w:widowControl/>
              <w:jc w:val="both"/>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用途：采用双抗体夹心法免疫层析法原理定性检测人血清或血浆中的人类免疫缺陷病毒HIV-1/HIV-2抗体。</w:t>
            </w:r>
          </w:p>
          <w:p>
            <w:pPr>
              <w:widowControl/>
              <w:jc w:val="both"/>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▲1、质量要求：2017-2019年连续三年参加中国疾病预防控制中心性病艾滋病预防控制中心组织的全国艾滋病病毒抗体诊断试剂临床质量评估，敏感性均100%，功效率至少两次≥99%。</w:t>
            </w:r>
          </w:p>
          <w:p>
            <w:pPr>
              <w:widowControl/>
              <w:jc w:val="both"/>
              <w:textAlignment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▲2、出结果时间≤25分钟。</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▲3、有效期：2-30℃保存≥24个月。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66" w:type="pct"/>
            <w:noWrap w:val="0"/>
            <w:vAlign w:val="center"/>
          </w:tcPr>
          <w:p>
            <w:pPr>
              <w:spacing w:line="420" w:lineRule="exact"/>
              <w:jc w:val="center"/>
              <w:rPr>
                <w:rFonts w:hint="eastAsia" w:cs="宋体"/>
                <w:color w:val="000000"/>
                <w:kern w:val="0"/>
              </w:rPr>
            </w:pPr>
            <w:r>
              <w:rPr>
                <w:rFonts w:hint="eastAsia" w:cs="宋体"/>
                <w:color w:val="000000"/>
                <w:kern w:val="0"/>
              </w:rPr>
              <w:t>商务</w:t>
            </w:r>
          </w:p>
          <w:p>
            <w:pPr>
              <w:spacing w:line="420" w:lineRule="exact"/>
              <w:jc w:val="center"/>
              <w:rPr>
                <w:rFonts w:hint="eastAsia" w:cs="宋体"/>
                <w:color w:val="000000"/>
                <w:kern w:val="0"/>
              </w:rPr>
            </w:pPr>
            <w:r>
              <w:rPr>
                <w:rFonts w:hint="eastAsia" w:cs="宋体"/>
                <w:color w:val="000000"/>
                <w:kern w:val="0"/>
              </w:rPr>
              <w:t>要求</w:t>
            </w:r>
          </w:p>
        </w:tc>
        <w:tc>
          <w:tcPr>
            <w:tcW w:w="4533" w:type="pct"/>
            <w:gridSpan w:val="5"/>
            <w:shd w:val="clear" w:color="auto" w:fill="auto"/>
            <w:noWrap w:val="0"/>
            <w:vAlign w:val="center"/>
          </w:tcPr>
          <w:p>
            <w:pPr>
              <w:pStyle w:val="2"/>
              <w:rPr>
                <w:rFonts w:hint="eastAsia" w:ascii="Times New Roman" w:hAnsi="Times New Roman" w:eastAsia="宋体" w:cs="Times New Roman"/>
                <w:lang w:eastAsia="zh-CN"/>
              </w:rPr>
            </w:pPr>
            <w:r>
              <w:rPr>
                <w:rFonts w:hint="eastAsia" w:ascii="Times New Roman" w:hAnsi="Times New Roman" w:eastAsia="宋体" w:cs="Times New Roman"/>
              </w:rPr>
              <w:t>▲1.</w:t>
            </w:r>
            <w:r>
              <w:rPr>
                <w:rFonts w:hint="eastAsia" w:cs="Times New Roman"/>
                <w:lang w:val="en-US" w:eastAsia="zh-CN"/>
              </w:rPr>
              <w:t>因该耗材为</w:t>
            </w:r>
            <w:r>
              <w:rPr>
                <w:rFonts w:hint="eastAsia" w:ascii="Times New Roman" w:hAnsi="Times New Roman" w:eastAsia="宋体" w:cs="Times New Roman"/>
                <w:lang w:eastAsia="zh-CN"/>
              </w:rPr>
              <w:t>Ⅲ类</w:t>
            </w:r>
            <w:r>
              <w:rPr>
                <w:rFonts w:hint="eastAsia" w:cs="Times New Roman"/>
                <w:lang w:val="en-US" w:eastAsia="zh-CN"/>
              </w:rPr>
              <w:t>体外诊断试剂</w:t>
            </w:r>
            <w:r>
              <w:rPr>
                <w:rFonts w:hint="eastAsia" w:ascii="Times New Roman" w:hAnsi="Times New Roman" w:eastAsia="宋体" w:cs="Times New Roman"/>
                <w:lang w:eastAsia="zh-CN"/>
              </w:rPr>
              <w:t>，</w:t>
            </w:r>
            <w:r>
              <w:rPr>
                <w:rFonts w:hint="eastAsia" w:cs="Times New Roman"/>
                <w:lang w:val="en-US" w:eastAsia="zh-CN"/>
              </w:rPr>
              <w:t>投标产品</w:t>
            </w:r>
            <w:r>
              <w:rPr>
                <w:rFonts w:hint="eastAsia" w:ascii="Times New Roman" w:hAnsi="Times New Roman" w:eastAsia="宋体" w:cs="Times New Roman"/>
              </w:rPr>
              <w:t>必须为四川省药械集中采购及医药价格监管平台挂网公示产品,并提供挂网商品代码（需要提供集采平台挂网截图）</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供应商的“投标总价”仅做为报价评审依据，最终根据实际需求进行相应调整，结算以实际发生量乘以供应商投标单价结算，且不超过每年的预算总价。</w:t>
            </w:r>
          </w:p>
          <w:p>
            <w:pPr>
              <w:pStyle w:val="2"/>
              <w:rPr>
                <w:rFonts w:hint="eastAsia" w:ascii="宋体" w:hAnsi="宋体" w:cs="Segoe UI"/>
                <w:color w:val="333333"/>
                <w:spacing w:val="8"/>
                <w:kern w:val="0"/>
                <w:sz w:val="18"/>
                <w:szCs w:val="18"/>
              </w:rPr>
            </w:pPr>
            <w:r>
              <w:rPr>
                <w:rFonts w:hint="eastAsia" w:ascii="Times New Roman" w:hAnsi="Times New Roman" w:eastAsia="宋体" w:cs="Times New Roman"/>
              </w:rPr>
              <w:t>备注: 以上打▲号的条款为本次招标项目的实质性要求，不允许有负偏离。</w:t>
            </w:r>
          </w:p>
        </w:tc>
      </w:tr>
    </w:tbl>
    <w:p>
      <w:pPr>
        <w:widowControl/>
        <w:spacing w:line="360" w:lineRule="auto"/>
        <w:jc w:val="left"/>
        <w:rPr>
          <w:rFonts w:ascii="宋体" w:hAnsi="宋体" w:eastAsia="宋体" w:cs="Segoe UI"/>
          <w:b/>
          <w:bCs/>
          <w:kern w:val="0"/>
          <w:sz w:val="28"/>
          <w:szCs w:val="28"/>
        </w:rPr>
      </w:pPr>
    </w:p>
    <w:p>
      <w:pPr>
        <w:rPr>
          <w:rFonts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jc w:val="left"/>
        <w:rPr>
          <w:rFonts w:ascii="Segoe UI" w:hAnsi="Segoe UI" w:eastAsia="宋体" w:cs="Segoe UI"/>
          <w:color w:val="000000" w:themeColor="text1"/>
          <w:kern w:val="0"/>
          <w:sz w:val="18"/>
          <w:szCs w:val="18"/>
        </w:rPr>
      </w:pPr>
      <w:bookmarkStart w:id="135" w:name="_GoBack"/>
      <w:bookmarkEnd w:id="135"/>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fill="FFFFFF"/>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fill="FFFFFF"/>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fill="FFFFFF"/>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fill="FFFFFF"/>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fill="FFFFFF"/>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fill="FFFFFF"/>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fill="FFFFFF"/>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fill="FFFFFF"/>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fill="FFFFFF"/>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9234"/>
      <w:bookmarkStart w:id="4" w:name="_Toc3414"/>
      <w:bookmarkStart w:id="5" w:name="_Toc21676"/>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275"/>
      <w:bookmarkStart w:id="8" w:name="_Toc11076"/>
      <w:bookmarkStart w:id="9" w:name="_Toc30494"/>
      <w:bookmarkStart w:id="10" w:name="_Toc5499"/>
      <w:bookmarkStart w:id="11" w:name="_Toc10689"/>
      <w:bookmarkStart w:id="12" w:name="_Toc14802"/>
      <w:bookmarkStart w:id="13" w:name="_Toc60"/>
      <w:bookmarkStart w:id="14" w:name="_Toc12490"/>
      <w:bookmarkStart w:id="15" w:name="_Toc5208"/>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8103"/>
      <w:bookmarkStart w:id="17" w:name="_Toc10948"/>
      <w:bookmarkStart w:id="18" w:name="_Toc10183"/>
      <w:bookmarkStart w:id="19" w:name="_Toc3081"/>
      <w:bookmarkStart w:id="20" w:name="_Toc9131"/>
      <w:bookmarkStart w:id="21" w:name="_Toc32214"/>
      <w:bookmarkStart w:id="22" w:name="_Toc7067"/>
      <w:bookmarkStart w:id="23" w:name="_Toc3912"/>
      <w:bookmarkStart w:id="24" w:name="_Toc26481"/>
      <w:bookmarkStart w:id="25" w:name="_Toc30724"/>
      <w:bookmarkStart w:id="26" w:name="_Toc13021"/>
      <w:bookmarkStart w:id="27" w:name="_Toc3392"/>
      <w:bookmarkStart w:id="28" w:name="_Toc19115"/>
      <w:bookmarkStart w:id="29" w:name="_Toc18879"/>
      <w:bookmarkStart w:id="30" w:name="_Toc18513"/>
      <w:bookmarkStart w:id="31" w:name="_Toc8717"/>
      <w:bookmarkStart w:id="32" w:name="_Toc3447"/>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8259"/>
      <w:bookmarkStart w:id="35" w:name="_Toc15196"/>
      <w:bookmarkStart w:id="36" w:name="_Toc9042"/>
      <w:bookmarkStart w:id="37" w:name="_Toc10142"/>
      <w:bookmarkStart w:id="38" w:name="_Toc30649"/>
      <w:bookmarkStart w:id="39" w:name="_Toc23645"/>
      <w:bookmarkStart w:id="40" w:name="_Toc30920"/>
      <w:bookmarkStart w:id="41" w:name="_Toc22795"/>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4117"/>
      <w:bookmarkStart w:id="46" w:name="_Toc25516"/>
      <w:bookmarkStart w:id="47" w:name="_Toc4775"/>
      <w:bookmarkStart w:id="48" w:name="_Toc26548"/>
      <w:bookmarkStart w:id="49" w:name="_Toc30083"/>
      <w:bookmarkStart w:id="50" w:name="_Toc19600"/>
      <w:bookmarkStart w:id="51" w:name="_Toc3534"/>
      <w:bookmarkStart w:id="52" w:name="_Toc3004"/>
      <w:bookmarkStart w:id="53" w:name="_Toc2198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32166"/>
      <w:bookmarkStart w:id="55" w:name="_Toc12333"/>
      <w:bookmarkStart w:id="56" w:name="_Toc21982"/>
      <w:bookmarkStart w:id="57" w:name="_Toc16764"/>
      <w:bookmarkStart w:id="58" w:name="_Toc16666"/>
      <w:bookmarkStart w:id="59" w:name="_Toc14887"/>
      <w:bookmarkStart w:id="60" w:name="_Toc3494"/>
      <w:bookmarkStart w:id="61" w:name="_Toc691"/>
      <w:bookmarkStart w:id="62" w:name="_Toc22198"/>
      <w:bookmarkStart w:id="63" w:name="_Toc23192"/>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4269"/>
      <w:bookmarkStart w:id="66" w:name="_Toc22606"/>
      <w:bookmarkStart w:id="67" w:name="_Toc3943"/>
      <w:bookmarkStart w:id="68" w:name="_Toc25068"/>
      <w:bookmarkStart w:id="69" w:name="_Toc5412"/>
      <w:bookmarkStart w:id="70" w:name="_Toc11914"/>
      <w:bookmarkStart w:id="71" w:name="_Toc9263"/>
      <w:bookmarkStart w:id="72" w:name="_Toc31581"/>
      <w:bookmarkStart w:id="73" w:name="_Toc1371"/>
      <w:bookmarkStart w:id="74" w:name="_Toc4577"/>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31890"/>
      <w:bookmarkStart w:id="78" w:name="_Toc3908"/>
      <w:bookmarkStart w:id="79" w:name="_Toc29190"/>
      <w:bookmarkStart w:id="80" w:name="_Toc11489"/>
      <w:bookmarkStart w:id="81" w:name="_Toc13267"/>
      <w:bookmarkStart w:id="82" w:name="_Toc2937"/>
      <w:bookmarkStart w:id="83" w:name="_Toc17108"/>
      <w:bookmarkStart w:id="84" w:name="_Toc2316"/>
      <w:bookmarkStart w:id="85" w:name="_Toc13677"/>
      <w:bookmarkStart w:id="86" w:name="_Toc1060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14252"/>
      <w:bookmarkStart w:id="89" w:name="_Toc26756"/>
      <w:bookmarkStart w:id="90" w:name="_Toc21351"/>
      <w:bookmarkStart w:id="91" w:name="_Toc15916"/>
      <w:bookmarkStart w:id="92" w:name="_Toc1313"/>
      <w:bookmarkStart w:id="93" w:name="_Toc32365"/>
      <w:bookmarkStart w:id="94" w:name="_Toc24122"/>
      <w:bookmarkStart w:id="95" w:name="_Toc31638"/>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48"/>
      <w:bookmarkStart w:id="98" w:name="_Toc10583"/>
      <w:bookmarkStart w:id="99" w:name="_Toc15083"/>
      <w:bookmarkStart w:id="100" w:name="_Toc22760"/>
      <w:bookmarkStart w:id="101" w:name="_Toc15894"/>
      <w:bookmarkStart w:id="102" w:name="_Toc11278"/>
      <w:bookmarkStart w:id="103" w:name="_Toc26609"/>
      <w:bookmarkStart w:id="104" w:name="_Toc9398"/>
      <w:bookmarkStart w:id="105" w:name="_Toc23212"/>
      <w:bookmarkStart w:id="106" w:name="_Toc18046"/>
      <w:bookmarkStart w:id="107" w:name="_Toc19589"/>
      <w:bookmarkStart w:id="108" w:name="_Toc27985"/>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671"/>
      <w:bookmarkStart w:id="111" w:name="_Toc17741"/>
      <w:bookmarkStart w:id="112" w:name="_Toc24107"/>
      <w:bookmarkStart w:id="113" w:name="_Toc24655"/>
      <w:bookmarkStart w:id="114" w:name="_Toc757"/>
      <w:bookmarkStart w:id="115" w:name="_Toc27767"/>
      <w:bookmarkStart w:id="116" w:name="_Toc17204"/>
      <w:bookmarkStart w:id="117" w:name="_Toc8348"/>
      <w:bookmarkStart w:id="118" w:name="_Toc14546"/>
      <w:bookmarkStart w:id="119" w:name="_Toc29648"/>
      <w:bookmarkStart w:id="120" w:name="_Toc4116"/>
      <w:bookmarkStart w:id="121" w:name="_Toc8083"/>
      <w:bookmarkStart w:id="122" w:name="_Toc8940"/>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8524"/>
      <w:bookmarkStart w:id="124" w:name="_Toc5840"/>
      <w:bookmarkStart w:id="125" w:name="_Toc10308"/>
      <w:bookmarkStart w:id="126" w:name="_Toc2003"/>
      <w:bookmarkStart w:id="127" w:name="_Toc12682"/>
      <w:bookmarkStart w:id="128" w:name="_Toc22243"/>
      <w:bookmarkStart w:id="129" w:name="_Toc14781"/>
      <w:bookmarkStart w:id="130" w:name="_Toc15917"/>
      <w:bookmarkStart w:id="131" w:name="_Toc24280"/>
      <w:bookmarkStart w:id="132" w:name="_Toc10950"/>
      <w:bookmarkStart w:id="133" w:name="_Toc10945"/>
      <w:bookmarkStart w:id="134" w:name="_Toc207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fill="FFFFFF"/>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fill="FFFFFF"/>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2130"/>
        <w:gridCol w:w="986"/>
      </w:tblGrid>
      <w:tr>
        <w:tblPrEx>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1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tabs>
                <w:tab w:val="left" w:pos="5511"/>
              </w:tabs>
              <w:wordWrap w:val="0"/>
              <w:jc w:val="left"/>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46E5"/>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D7F0F"/>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0E95"/>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2921"/>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32915"/>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E30BD"/>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0E1F"/>
    <w:rsid w:val="00DB3F6C"/>
    <w:rsid w:val="00DC3AB1"/>
    <w:rsid w:val="00DC4C36"/>
    <w:rsid w:val="00DE14EC"/>
    <w:rsid w:val="00DE31ED"/>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2DB74145"/>
    <w:rsid w:val="34C1527C"/>
    <w:rsid w:val="34E74E35"/>
    <w:rsid w:val="364F4E7F"/>
    <w:rsid w:val="365344A5"/>
    <w:rsid w:val="411D3A60"/>
    <w:rsid w:val="439F78E1"/>
    <w:rsid w:val="51CB3FD0"/>
    <w:rsid w:val="5536063D"/>
    <w:rsid w:val="62FA0171"/>
    <w:rsid w:val="65C660EF"/>
    <w:rsid w:val="701306BF"/>
    <w:rsid w:val="75233D75"/>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NormalCharacter"/>
    <w:qFormat/>
    <w:uiPriority w:val="0"/>
  </w:style>
  <w:style w:type="character" w:customStyle="1" w:styleId="25">
    <w:name w:val="正文文本缩进 2 Char"/>
    <w:basedOn w:val="14"/>
    <w:link w:val="6"/>
    <w:semiHidden/>
    <w:qFormat/>
    <w:uiPriority w:val="99"/>
    <w:rPr>
      <w:rFonts w:asciiTheme="minorHAnsi" w:hAnsiTheme="minorHAnsi" w:eastAsiaTheme="minorEastAsia" w:cstheme="minorBidi"/>
      <w:kern w:val="2"/>
      <w:sz w:val="21"/>
      <w:szCs w:val="22"/>
    </w:rPr>
  </w:style>
  <w:style w:type="character" w:customStyle="1" w:styleId="26">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8A53-B26B-4B29-A513-F392F504E0E9}">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2</TotalTime>
  <ScaleCrop>false</ScaleCrop>
  <LinksUpToDate>false</LinksUpToDate>
  <CharactersWithSpaces>6078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2023-10-20T01:09:59Z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