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pacing w:before="0" w:after="0" w:line="360" w:lineRule="auto"/>
        <w:ind w:firstLine="118" w:firstLineChars="49"/>
        <w:jc w:val="left"/>
        <w:rPr>
          <w:rFonts w:ascii="宋体" w:hAnsi="宋体" w:eastAsia="宋体" w:cs="仿宋"/>
          <w:bCs w:val="0"/>
          <w:sz w:val="24"/>
          <w:szCs w:val="24"/>
        </w:rPr>
      </w:pPr>
      <w:bookmarkStart w:id="0" w:name="_Toc217446094"/>
    </w:p>
    <w:p>
      <w:pPr>
        <w:pStyle w:val="3"/>
        <w:keepNext w:val="0"/>
        <w:keepLines w:val="0"/>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p>
    <w:p>
      <w:pPr>
        <w:pStyle w:val="3"/>
        <w:spacing w:after="0" w:line="360" w:lineRule="auto"/>
        <w:ind w:firstLine="236" w:firstLineChars="98"/>
        <w:rPr>
          <w:rFonts w:ascii="宋体" w:hAnsi="宋体" w:eastAsia="宋体" w:cs="仿宋"/>
          <w:sz w:val="24"/>
          <w:szCs w:val="24"/>
        </w:rPr>
      </w:pPr>
      <w:r>
        <w:rPr>
          <w:rFonts w:hint="eastAsia" w:ascii="宋体" w:hAnsi="宋体" w:eastAsia="宋体" w:cs="仿宋"/>
          <w:sz w:val="24"/>
          <w:szCs w:val="24"/>
        </w:rPr>
        <w:t>一、采购项目编号：SCFY-YXZB202310-02（比）</w:t>
      </w:r>
    </w:p>
    <w:p>
      <w:pPr>
        <w:pStyle w:val="3"/>
        <w:spacing w:after="0" w:line="360" w:lineRule="auto"/>
        <w:ind w:firstLine="236" w:firstLineChars="98"/>
        <w:rPr>
          <w:rFonts w:ascii="宋体" w:hAnsi="宋体" w:eastAsia="宋体" w:cs="仿宋"/>
          <w:sz w:val="24"/>
          <w:szCs w:val="24"/>
        </w:rPr>
      </w:pPr>
      <w:r>
        <w:rPr>
          <w:rFonts w:hint="eastAsia" w:ascii="宋体" w:hAnsi="宋体" w:eastAsia="宋体" w:cs="仿宋"/>
          <w:sz w:val="24"/>
          <w:szCs w:val="24"/>
        </w:rPr>
        <w:t>二、年度采购预算：6万元/年</w:t>
      </w:r>
    </w:p>
    <w:p>
      <w:pPr>
        <w:pStyle w:val="3"/>
        <w:spacing w:after="0" w:line="360" w:lineRule="auto"/>
        <w:ind w:firstLine="236" w:firstLineChars="98"/>
        <w:rPr>
          <w:rFonts w:ascii="宋体" w:hAnsi="宋体" w:eastAsia="宋体" w:cs="仿宋"/>
          <w:sz w:val="24"/>
          <w:szCs w:val="24"/>
        </w:rPr>
      </w:pPr>
      <w:r>
        <w:rPr>
          <w:rFonts w:hint="eastAsia" w:ascii="宋体" w:hAnsi="宋体" w:eastAsia="宋体" w:cs="仿宋"/>
          <w:sz w:val="24"/>
          <w:szCs w:val="24"/>
        </w:rPr>
        <w:t xml:space="preserve">三、 </w:t>
      </w:r>
      <w:bookmarkEnd w:id="0"/>
      <w:bookmarkStart w:id="1" w:name="_Toc217446095"/>
      <w:r>
        <w:rPr>
          <w:rFonts w:hint="eastAsia" w:ascii="宋体" w:hAnsi="宋体" w:eastAsia="宋体" w:cs="仿宋"/>
          <w:sz w:val="24"/>
          <w:szCs w:val="24"/>
        </w:rPr>
        <w:t>项目清单及技术要求：</w:t>
      </w:r>
    </w:p>
    <w:tbl>
      <w:tblPr>
        <w:tblStyle w:val="12"/>
        <w:tblW w:w="96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91"/>
        <w:gridCol w:w="1441"/>
        <w:gridCol w:w="1183"/>
        <w:gridCol w:w="6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b/>
                <w:sz w:val="18"/>
                <w:szCs w:val="18"/>
              </w:rPr>
            </w:pPr>
            <w:r>
              <w:rPr>
                <w:rStyle w:val="24"/>
                <w:rFonts w:ascii="宋体" w:hAnsi="宋体"/>
                <w:b/>
                <w:sz w:val="18"/>
                <w:szCs w:val="18"/>
              </w:rPr>
              <w:t>序号</w:t>
            </w:r>
          </w:p>
        </w:tc>
        <w:tc>
          <w:tcPr>
            <w:tcW w:w="1441"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b/>
                <w:sz w:val="18"/>
                <w:szCs w:val="18"/>
              </w:rPr>
            </w:pPr>
            <w:r>
              <w:rPr>
                <w:rStyle w:val="24"/>
                <w:rFonts w:ascii="宋体" w:hAnsi="宋体"/>
                <w:b/>
                <w:sz w:val="18"/>
                <w:szCs w:val="18"/>
              </w:rPr>
              <w:t>材料名称</w:t>
            </w:r>
          </w:p>
        </w:tc>
        <w:tc>
          <w:tcPr>
            <w:tcW w:w="1183"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b/>
                <w:sz w:val="18"/>
                <w:szCs w:val="18"/>
              </w:rPr>
            </w:pPr>
            <w:r>
              <w:rPr>
                <w:rStyle w:val="24"/>
                <w:rFonts w:hint="eastAsia" w:ascii="宋体" w:hAnsi="宋体"/>
                <w:b/>
                <w:sz w:val="18"/>
                <w:szCs w:val="18"/>
              </w:rPr>
              <w:t>预估年度</w:t>
            </w:r>
          </w:p>
          <w:p>
            <w:pPr>
              <w:jc w:val="center"/>
              <w:rPr>
                <w:rStyle w:val="24"/>
                <w:rFonts w:ascii="宋体" w:hAnsi="宋体"/>
                <w:b/>
                <w:sz w:val="18"/>
                <w:szCs w:val="18"/>
              </w:rPr>
            </w:pPr>
            <w:r>
              <w:rPr>
                <w:rStyle w:val="24"/>
                <w:rFonts w:hint="eastAsia" w:ascii="宋体" w:hAnsi="宋体"/>
                <w:b/>
                <w:sz w:val="18"/>
                <w:szCs w:val="18"/>
              </w:rPr>
              <w:t>使用量</w:t>
            </w:r>
          </w:p>
        </w:tc>
        <w:tc>
          <w:tcPr>
            <w:tcW w:w="6483"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b/>
                <w:sz w:val="18"/>
                <w:szCs w:val="18"/>
              </w:rPr>
            </w:pPr>
            <w:r>
              <w:rPr>
                <w:rStyle w:val="24"/>
                <w:rFonts w:ascii="宋体" w:hAnsi="宋体"/>
                <w:b/>
                <w:sz w:val="18"/>
                <w:szCs w:val="18"/>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jc w:val="center"/>
        </w:trPr>
        <w:tc>
          <w:tcPr>
            <w:tcW w:w="5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jc w:val="center"/>
              <w:rPr>
                <w:rFonts w:ascii="宋体" w:hAnsi="宋体"/>
                <w:szCs w:val="21"/>
              </w:rPr>
            </w:pPr>
            <w:r>
              <w:rPr>
                <w:rFonts w:hint="eastAsia" w:ascii="宋体" w:hAnsi="宋体"/>
                <w:szCs w:val="21"/>
              </w:rPr>
              <w:t>1</w:t>
            </w:r>
          </w:p>
        </w:tc>
        <w:tc>
          <w:tcPr>
            <w:tcW w:w="144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olor w:val="000000"/>
                <w:sz w:val="18"/>
                <w:szCs w:val="18"/>
              </w:rPr>
            </w:pPr>
            <w:r>
              <w:rPr>
                <w:rStyle w:val="24"/>
                <w:rFonts w:hint="eastAsia" w:ascii="宋体" w:hAnsi="宋体"/>
                <w:color w:val="000000"/>
                <w:sz w:val="18"/>
                <w:szCs w:val="18"/>
              </w:rPr>
              <w:t>人绒毛膜促性腺激素hCG检测试剂（胶体金法）</w:t>
            </w:r>
          </w:p>
        </w:tc>
        <w:tc>
          <w:tcPr>
            <w:tcW w:w="118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olor w:val="000000"/>
                <w:sz w:val="18"/>
                <w:szCs w:val="18"/>
              </w:rPr>
            </w:pPr>
            <w:r>
              <w:rPr>
                <w:rStyle w:val="24"/>
                <w:rFonts w:hint="eastAsia" w:ascii="宋体" w:hAnsi="宋体"/>
                <w:color w:val="000000"/>
                <w:sz w:val="18"/>
                <w:szCs w:val="18"/>
              </w:rPr>
              <w:t>60000人份</w:t>
            </w:r>
          </w:p>
        </w:tc>
        <w:tc>
          <w:tcPr>
            <w:tcW w:w="6483" w:type="dxa"/>
            <w:tcBorders>
              <w:top w:val="single" w:color="000000" w:sz="4" w:space="0"/>
              <w:left w:val="single" w:color="000000" w:sz="4" w:space="0"/>
              <w:bottom w:val="single" w:color="000000" w:sz="4" w:space="0"/>
              <w:right w:val="single" w:color="000000" w:sz="4" w:space="0"/>
            </w:tcBorders>
            <w:vAlign w:val="center"/>
          </w:tcPr>
          <w:p>
            <w:pPr>
              <w:spacing w:line="276" w:lineRule="auto"/>
              <w:rPr>
                <w:rStyle w:val="24"/>
                <w:rFonts w:ascii="宋体" w:hAnsi="宋体"/>
                <w:color w:val="000000"/>
                <w:kern w:val="0"/>
                <w:sz w:val="18"/>
                <w:szCs w:val="18"/>
              </w:rPr>
            </w:pPr>
            <w:r>
              <w:rPr>
                <w:rStyle w:val="24"/>
                <w:rFonts w:hint="eastAsia" w:ascii="宋体" w:hAnsi="宋体"/>
                <w:color w:val="000000"/>
                <w:kern w:val="0"/>
                <w:sz w:val="18"/>
                <w:szCs w:val="18"/>
              </w:rPr>
              <w:t>用途：用于体外定性检测人尿液中人绒毛膜促性腺激素（hCG）；</w:t>
            </w:r>
          </w:p>
          <w:p>
            <w:pPr>
              <w:spacing w:line="276" w:lineRule="auto"/>
              <w:rPr>
                <w:rStyle w:val="24"/>
                <w:rFonts w:ascii="宋体" w:hAnsi="宋体"/>
                <w:color w:val="000000"/>
                <w:kern w:val="0"/>
                <w:sz w:val="18"/>
                <w:szCs w:val="18"/>
              </w:rPr>
            </w:pPr>
            <w:r>
              <w:rPr>
                <w:rStyle w:val="24"/>
                <w:rFonts w:hint="eastAsia" w:ascii="宋体" w:hAnsi="宋体"/>
                <w:color w:val="000000"/>
                <w:kern w:val="0"/>
                <w:sz w:val="18"/>
                <w:szCs w:val="18"/>
              </w:rPr>
              <w:t>1.检测方法：胶体金法；</w:t>
            </w:r>
          </w:p>
          <w:p>
            <w:pPr>
              <w:spacing w:line="276" w:lineRule="auto"/>
              <w:rPr>
                <w:rStyle w:val="24"/>
                <w:rFonts w:ascii="宋体" w:hAnsi="宋体"/>
                <w:color w:val="000000"/>
                <w:kern w:val="0"/>
                <w:sz w:val="18"/>
                <w:szCs w:val="18"/>
              </w:rPr>
            </w:pPr>
            <w:r>
              <w:rPr>
                <w:rStyle w:val="24"/>
                <w:rFonts w:hint="eastAsia" w:ascii="宋体" w:hAnsi="宋体"/>
                <w:color w:val="000000"/>
                <w:kern w:val="0"/>
                <w:sz w:val="18"/>
                <w:szCs w:val="18"/>
              </w:rPr>
              <w:t>2.适用样本：人尿液；</w:t>
            </w:r>
          </w:p>
          <w:p>
            <w:pPr>
              <w:spacing w:line="276" w:lineRule="auto"/>
              <w:rPr>
                <w:rStyle w:val="24"/>
                <w:rFonts w:ascii="宋体" w:hAnsi="宋体"/>
                <w:color w:val="000000"/>
                <w:kern w:val="0"/>
                <w:sz w:val="18"/>
                <w:szCs w:val="18"/>
              </w:rPr>
            </w:pPr>
            <w:r>
              <w:rPr>
                <w:rStyle w:val="24"/>
                <w:rFonts w:hint="eastAsia" w:ascii="宋体" w:hAnsi="宋体"/>
                <w:color w:val="000000"/>
                <w:kern w:val="0"/>
                <w:sz w:val="18"/>
                <w:szCs w:val="18"/>
              </w:rPr>
              <w:t>3.最低检测限；不高于25mIU/mL;</w:t>
            </w:r>
          </w:p>
          <w:p>
            <w:pPr>
              <w:spacing w:line="276" w:lineRule="auto"/>
              <w:rPr>
                <w:rStyle w:val="24"/>
                <w:rFonts w:ascii="宋体" w:hAnsi="宋体"/>
                <w:color w:val="000000"/>
                <w:kern w:val="0"/>
                <w:sz w:val="18"/>
                <w:szCs w:val="18"/>
              </w:rPr>
            </w:pPr>
            <w:r>
              <w:rPr>
                <w:rStyle w:val="24"/>
                <w:rFonts w:hint="eastAsia" w:ascii="宋体" w:hAnsi="宋体"/>
                <w:color w:val="000000"/>
                <w:kern w:val="0"/>
                <w:sz w:val="18"/>
                <w:szCs w:val="18"/>
              </w:rPr>
              <w:t>4.特异性：</w:t>
            </w:r>
          </w:p>
          <w:p>
            <w:pPr>
              <w:spacing w:line="276" w:lineRule="auto"/>
              <w:rPr>
                <w:rStyle w:val="24"/>
                <w:rFonts w:ascii="宋体" w:hAnsi="宋体"/>
                <w:color w:val="000000"/>
                <w:kern w:val="0"/>
                <w:sz w:val="18"/>
                <w:szCs w:val="18"/>
              </w:rPr>
            </w:pPr>
            <w:r>
              <w:rPr>
                <w:rStyle w:val="24"/>
                <w:rFonts w:hint="eastAsia" w:ascii="宋体" w:hAnsi="宋体"/>
                <w:color w:val="000000"/>
                <w:kern w:val="0"/>
                <w:sz w:val="18"/>
                <w:szCs w:val="18"/>
              </w:rPr>
              <w:t>隐形特异性：分别用含500mIU/mL hLH、1000mIU/mL hFSH和1000μIU/mL hTSH的0mIU/mL HCG液进行检测，结果均为阴性；</w:t>
            </w:r>
          </w:p>
          <w:p>
            <w:pPr>
              <w:spacing w:line="276" w:lineRule="auto"/>
              <w:rPr>
                <w:rStyle w:val="24"/>
                <w:rFonts w:ascii="宋体" w:hAnsi="宋体"/>
                <w:color w:val="000000"/>
                <w:kern w:val="0"/>
                <w:sz w:val="18"/>
                <w:szCs w:val="18"/>
              </w:rPr>
            </w:pPr>
            <w:r>
              <w:rPr>
                <w:rStyle w:val="24"/>
                <w:rFonts w:hint="eastAsia" w:ascii="宋体" w:hAnsi="宋体"/>
                <w:color w:val="000000"/>
                <w:kern w:val="0"/>
                <w:sz w:val="18"/>
                <w:szCs w:val="18"/>
              </w:rPr>
              <w:t>阳性特异性：分别用含500mIU/mL hLH、1000mIU/mL hFSH和1000μIU/mL hSLH的25mIU/mL HCG液进行检测，结果均为阳性;</w:t>
            </w:r>
          </w:p>
          <w:p>
            <w:pPr>
              <w:spacing w:line="276" w:lineRule="auto"/>
              <w:rPr>
                <w:rStyle w:val="24"/>
                <w:rFonts w:ascii="宋体" w:hAnsi="宋体"/>
                <w:color w:val="000000"/>
                <w:kern w:val="0"/>
                <w:sz w:val="18"/>
                <w:szCs w:val="18"/>
              </w:rPr>
            </w:pPr>
            <w:r>
              <w:rPr>
                <w:rStyle w:val="24"/>
                <w:rFonts w:hint="eastAsia" w:ascii="宋体" w:hAnsi="宋体"/>
                <w:color w:val="000000"/>
                <w:kern w:val="0"/>
                <w:sz w:val="18"/>
                <w:szCs w:val="18"/>
              </w:rPr>
              <w:t>5.重复性：取同一批号的试纸10支，重复检测25mIU/mL HCG标准品测定，反应结果一致且显色度均一；</w:t>
            </w:r>
          </w:p>
          <w:p>
            <w:pPr>
              <w:spacing w:line="276" w:lineRule="auto"/>
              <w:rPr>
                <w:rStyle w:val="24"/>
                <w:rFonts w:ascii="宋体" w:hAnsi="宋体"/>
                <w:color w:val="000000"/>
                <w:kern w:val="0"/>
                <w:sz w:val="18"/>
                <w:szCs w:val="18"/>
              </w:rPr>
            </w:pPr>
            <w:r>
              <w:rPr>
                <w:rStyle w:val="24"/>
                <w:rFonts w:hint="eastAsia" w:ascii="宋体" w:hAnsi="宋体"/>
                <w:color w:val="000000"/>
                <w:kern w:val="0"/>
                <w:sz w:val="18"/>
                <w:szCs w:val="18"/>
              </w:rPr>
              <w:t>6.抗干扰性：样本中胆红素≤500μmol/L，甘油三酯≤30mmol/L，血红蛋白≤2g/L时，对检测结果无影响；</w:t>
            </w:r>
          </w:p>
          <w:p>
            <w:pPr>
              <w:spacing w:line="276" w:lineRule="auto"/>
              <w:rPr>
                <w:rStyle w:val="24"/>
                <w:rFonts w:ascii="宋体" w:hAnsi="宋体" w:eastAsia="宋体"/>
                <w:color w:val="000000"/>
                <w:kern w:val="0"/>
                <w:sz w:val="18"/>
                <w:szCs w:val="18"/>
              </w:rPr>
            </w:pPr>
            <w:r>
              <w:rPr>
                <w:rStyle w:val="24"/>
                <w:rFonts w:hint="eastAsia" w:ascii="宋体" w:hAnsi="宋体"/>
                <w:color w:val="000000"/>
                <w:kern w:val="0"/>
                <w:sz w:val="18"/>
                <w:szCs w:val="18"/>
              </w:rPr>
              <w:t>7.可提供最单人份包装；</w:t>
            </w:r>
          </w:p>
          <w:p>
            <w:pPr>
              <w:spacing w:line="276" w:lineRule="auto"/>
              <w:rPr>
                <w:rFonts w:ascii="宋体" w:hAnsi="宋体"/>
                <w:color w:val="000000"/>
                <w:kern w:val="0"/>
                <w:sz w:val="18"/>
                <w:szCs w:val="18"/>
              </w:rPr>
            </w:pPr>
            <w:r>
              <w:rPr>
                <w:rStyle w:val="24"/>
                <w:rFonts w:hint="eastAsia" w:ascii="宋体" w:hAnsi="宋体"/>
                <w:color w:val="000000"/>
                <w:kern w:val="0"/>
                <w:sz w:val="18"/>
                <w:szCs w:val="18"/>
              </w:rPr>
              <w:t>8.试剂出厂后在4℃至30℃条件下避光密封保存，有效期不低于18个月；</w:t>
            </w:r>
          </w:p>
        </w:tc>
      </w:tr>
      <w:bookmarkEnd w:id="1"/>
    </w:tbl>
    <w:p>
      <w:pPr>
        <w:pStyle w:val="3"/>
        <w:spacing w:after="0" w:line="360" w:lineRule="auto"/>
        <w:ind w:firstLine="236" w:firstLineChars="98"/>
        <w:rPr>
          <w:rFonts w:ascii="宋体" w:hAnsi="宋体" w:eastAsia="宋体" w:cs="仿宋"/>
          <w:sz w:val="24"/>
          <w:szCs w:val="24"/>
        </w:rPr>
      </w:pPr>
      <w:r>
        <w:rPr>
          <w:rFonts w:hint="eastAsia" w:ascii="宋体" w:hAnsi="宋体" w:eastAsia="宋体" w:cs="仿宋"/>
          <w:sz w:val="24"/>
          <w:szCs w:val="24"/>
        </w:rPr>
        <w:t>四、项目要求</w:t>
      </w:r>
    </w:p>
    <w:p>
      <w:pPr>
        <w:pStyle w:val="4"/>
        <w:ind w:left="283" w:leftChars="135" w:firstLine="0" w:firstLineChars="0"/>
      </w:pPr>
      <w:r>
        <w:rPr>
          <w:rFonts w:hint="eastAsia"/>
        </w:rPr>
        <w:t>（一）本包进口产品</w:t>
      </w:r>
      <w:r>
        <w:rPr>
          <w:rFonts w:hint="eastAsia"/>
          <w:u w:val="single"/>
        </w:rPr>
        <w:t xml:space="preserve"> 可以 </w:t>
      </w:r>
      <w:r>
        <w:rPr>
          <w:rFonts w:hint="eastAsia"/>
        </w:rPr>
        <w:t>参与竞争。</w:t>
      </w:r>
    </w:p>
    <w:p>
      <w:pPr>
        <w:pStyle w:val="4"/>
        <w:ind w:left="283" w:leftChars="135" w:firstLine="0" w:firstLineChars="0"/>
      </w:pPr>
      <w:r>
        <w:rPr>
          <w:rFonts w:hint="eastAsia"/>
        </w:rPr>
        <w:t>（二）服务要求：</w:t>
      </w:r>
    </w:p>
    <w:p>
      <w:pPr>
        <w:pStyle w:val="4"/>
        <w:spacing w:line="400" w:lineRule="exact"/>
      </w:pPr>
      <w:r>
        <w:rPr>
          <w:rFonts w:hint="eastAsia"/>
        </w:rPr>
        <w:t>▲响应产品挂网要求：响应产品属于国家医疗保障局发布的《医保医用耗材分类与代码》目录且具有医疗器械注册证的全部医用耗材（不含一类医疗器械）和具有医疗器械注册证或备案凭证的在用体外诊断试剂的，必须为四川省药械集中采购及医药价格监管平台挂网产品，提供产品挂网商品代码（流水号）。（已经挂网的需要提供集采平台挂网截图）</w:t>
      </w:r>
    </w:p>
    <w:p>
      <w:pPr>
        <w:pStyle w:val="4"/>
        <w:spacing w:line="400" w:lineRule="exact"/>
      </w:pPr>
      <w:r>
        <w:rPr>
          <w:rFonts w:hint="eastAsia"/>
        </w:rPr>
        <w:t>（三）商务要求：</w:t>
      </w:r>
    </w:p>
    <w:p>
      <w:pPr>
        <w:pStyle w:val="4"/>
        <w:spacing w:line="400" w:lineRule="exact"/>
      </w:pPr>
      <w:r>
        <w:rPr>
          <w:rFonts w:hint="eastAsia"/>
        </w:rPr>
        <w:t>▲1.付款方法和条件：</w:t>
      </w:r>
    </w:p>
    <w:p>
      <w:pPr>
        <w:pStyle w:val="4"/>
        <w:spacing w:line="400" w:lineRule="exact"/>
      </w:pPr>
      <w:r>
        <w:rPr>
          <w:rFonts w:hint="eastAsia"/>
        </w:rPr>
        <w:t>（1）采购人自收到供应商配送的耗材产品，验收合格入库后，供应商按照采购人要求每月进行对账，采购人按以下方式支付货款：（请选择下面两种付款方式之一，方式一【  】/ 方式二【  】）</w:t>
      </w:r>
    </w:p>
    <w:p>
      <w:pPr>
        <w:pStyle w:val="4"/>
        <w:spacing w:line="400" w:lineRule="exact"/>
      </w:pPr>
      <w:r>
        <w:rPr>
          <w:rFonts w:hint="eastAsia"/>
        </w:rPr>
        <w:t>方式一：供应商为中小企业（依据国务院批准的中小企业划分标准确定的中型企业、小型企业和微型企业），供应商出具合法有效完整的完税发票及凭证资料后，甲方2个月内支付货款。</w:t>
      </w:r>
    </w:p>
    <w:p>
      <w:pPr>
        <w:pStyle w:val="4"/>
        <w:spacing w:line="400" w:lineRule="exact"/>
      </w:pPr>
      <w:r>
        <w:rPr>
          <w:rFonts w:hint="eastAsia"/>
        </w:rPr>
        <w:t>方式二：供应商为大型企业（方式一中规定的中小企业以外的企业），供应商出具合法有效完整的完税发票及凭证资料后，采购人6个月后支付货款。</w:t>
      </w:r>
    </w:p>
    <w:p>
      <w:pPr>
        <w:pStyle w:val="4"/>
        <w:spacing w:line="400" w:lineRule="exact"/>
      </w:pPr>
      <w:r>
        <w:rPr>
          <w:rFonts w:hint="eastAsia"/>
        </w:rPr>
        <w:t>（2）因供应商供货质量不合格或不符合采购人要求的，采购人有权拒绝付款。</w:t>
      </w:r>
    </w:p>
    <w:p>
      <w:pPr>
        <w:pStyle w:val="4"/>
        <w:spacing w:line="400" w:lineRule="exact"/>
      </w:pPr>
      <w:r>
        <w:rPr>
          <w:rFonts w:hint="eastAsia"/>
        </w:rPr>
        <w:t>▲2.供货期限：3年，采购数量以实际使用量为准。</w:t>
      </w:r>
    </w:p>
    <w:p>
      <w:pPr>
        <w:pStyle w:val="4"/>
        <w:spacing w:line="400" w:lineRule="exact"/>
      </w:pPr>
      <w:r>
        <w:rPr>
          <w:rFonts w:hint="eastAsia"/>
        </w:rPr>
        <w:t>▲3.报价原则：原则上所有投标产品报价不得高于四川省内其他地市中标价格或医疗机构近两年的历史最低价。（对此单独提供承诺函并加盖供应商公章，格式自拟。）</w:t>
      </w:r>
    </w:p>
    <w:p>
      <w:pPr>
        <w:pStyle w:val="4"/>
        <w:spacing w:line="400" w:lineRule="exact"/>
      </w:pPr>
      <w:r>
        <w:rPr>
          <w:rFonts w:hint="eastAsia"/>
        </w:rPr>
        <w:t>▲4.合同结算：本项目的“预估采购数量”、 供应商的“投标总价”仅做为报价评审依据，最终根据实际需求进行相应调整，结算以实际发生量乘以供应商投标单价结算，且不超过每年的预算总价。</w:t>
      </w:r>
    </w:p>
    <w:p>
      <w:pPr>
        <w:pStyle w:val="4"/>
        <w:spacing w:line="400" w:lineRule="exact"/>
      </w:pPr>
      <w:r>
        <w:rPr>
          <w:rFonts w:hint="eastAsia"/>
        </w:rPr>
        <w:t>▲5.质量保证：</w:t>
      </w:r>
    </w:p>
    <w:p>
      <w:pPr>
        <w:pStyle w:val="4"/>
        <w:spacing w:line="400" w:lineRule="exact"/>
      </w:pPr>
      <w:r>
        <w:rPr>
          <w:rFonts w:hint="eastAsia"/>
        </w:rPr>
        <w:t>5.1供应商配送保障能力：能严格按照货物的运输要求完成运输全过程，涉及到冷链产品的，成交供应商须严格按照该产品规定的运输或贮藏要求（提供相应佐证资料），完成产品的交付，如因未按照相关要求运输或贮藏的，采购人有权更换相关产品，如因此情形出现的质量问题，由成交供应商自行承担。</w:t>
      </w:r>
    </w:p>
    <w:p>
      <w:pPr>
        <w:pStyle w:val="4"/>
        <w:spacing w:line="400" w:lineRule="exact"/>
      </w:pPr>
      <w:r>
        <w:rPr>
          <w:rFonts w:hint="eastAsia"/>
        </w:rPr>
        <w:t>5.2供应商保证所供货物原产地真实，产品全新未使用过，质量符合国家标准（在无国家标准时，符合行业标准），不得以假充真，以次充好。如果所供产品的质量不合格或规格不符合采购人要求以及存在任何潜在的缺陷，供应商应在接到采购人通知后3天内负责换货，因换货产生的费用由供应商负担。如因不合格产品给采购人造成损失，供应商还应承担赔偿责任。</w:t>
      </w:r>
    </w:p>
    <w:p>
      <w:pPr>
        <w:widowControl/>
        <w:spacing w:line="360" w:lineRule="auto"/>
        <w:jc w:val="left"/>
        <w:rPr>
          <w:rFonts w:ascii="宋体" w:hAnsi="宋体" w:eastAsia="宋体" w:cs="Segoe UI"/>
          <w:b/>
          <w:bCs/>
          <w:kern w:val="0"/>
          <w:sz w:val="28"/>
          <w:szCs w:val="28"/>
        </w:rPr>
      </w:pPr>
    </w:p>
    <w:p>
      <w:pPr>
        <w:rPr>
          <w:rFonts w:ascii="宋体" w:hAnsi="宋体" w:eastAsia="宋体" w:cs="Segoe UI"/>
          <w:b/>
          <w:bCs/>
          <w:kern w:val="0"/>
          <w:sz w:val="28"/>
          <w:szCs w:val="28"/>
        </w:rPr>
      </w:pPr>
      <w:r>
        <w:rPr>
          <w:rFonts w:hint="eastAsia" w:ascii="宋体" w:hAnsi="宋体" w:eastAsia="宋体" w:cs="Segoe UI"/>
          <w:b/>
          <w:bCs/>
          <w:kern w:val="0"/>
          <w:sz w:val="28"/>
          <w:szCs w:val="28"/>
        </w:rPr>
        <w:br w:type="page"/>
      </w:r>
    </w:p>
    <w:p>
      <w:pPr>
        <w:widowControl/>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w:t>
      </w:r>
    </w:p>
    <w:p>
      <w:pPr>
        <w:pStyle w:val="2"/>
        <w:rPr>
          <w:rFonts w:hint="eastAsia"/>
        </w:rPr>
      </w:pPr>
      <w:r>
        <w:rPr>
          <w:rFonts w:hint="eastAsia"/>
          <w:lang w:val="en-US" w:eastAsia="zh-CN"/>
        </w:rPr>
        <w:t>采用最低价中标法评审</w:t>
      </w:r>
      <w:r>
        <w:rPr>
          <w:rFonts w:hint="eastAsia"/>
        </w:rPr>
        <w:t>。</w:t>
      </w:r>
    </w:p>
    <w:p>
      <w:pPr>
        <w:widowControl/>
        <w:jc w:val="left"/>
        <w:rPr>
          <w:rFonts w:ascii="宋体" w:hAnsi="宋体" w:eastAsia="宋体" w:cs="Segoe UI"/>
          <w:b/>
          <w:bCs/>
          <w:kern w:val="0"/>
          <w:sz w:val="28"/>
          <w:szCs w:val="28"/>
        </w:rPr>
      </w:pPr>
      <w:r>
        <w:rPr>
          <w:rFonts w:ascii="宋体" w:hAnsi="宋体" w:eastAsia="宋体" w:cs="Segoe UI"/>
          <w:b/>
          <w:bCs/>
          <w:kern w:val="0"/>
          <w:sz w:val="28"/>
          <w:szCs w:val="28"/>
        </w:rPr>
        <w:br w:type="page"/>
      </w:r>
      <w:bookmarkStart w:id="135" w:name="_GoBack"/>
      <w:bookmarkEnd w:id="135"/>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2、目录</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3、品目及报价表（格式见附件4）</w:t>
      </w:r>
    </w:p>
    <w:p>
      <w:pPr>
        <w:widowControl/>
        <w:shd w:val="clear" w:color="auto" w:fill="FFFFFF"/>
        <w:wordWrap w:val="0"/>
        <w:ind w:firstLine="512"/>
        <w:jc w:val="left"/>
        <w:rPr>
          <w:rFonts w:ascii="仿宋_GB2312" w:hAnsi="Segoe UI" w:eastAsia="仿宋_GB2312" w:cs="Segoe UI"/>
          <w:color w:val="000000" w:themeColor="text1"/>
          <w:spacing w:val="8"/>
          <w:kern w:val="0"/>
          <w:sz w:val="24"/>
          <w:szCs w:val="24"/>
        </w:rPr>
      </w:pPr>
      <w:r>
        <w:rPr>
          <w:rFonts w:hint="eastAsia" w:ascii="仿宋_GB2312" w:hAnsi="Segoe UI" w:eastAsia="仿宋_GB2312" w:cs="Segoe UI"/>
          <w:color w:val="000000" w:themeColor="text1"/>
          <w:spacing w:val="8"/>
          <w:kern w:val="0"/>
          <w:sz w:val="24"/>
          <w:szCs w:val="24"/>
        </w:rPr>
        <w:t>4、规格型号、配置及偏离表（格式见附件4）</w:t>
      </w:r>
    </w:p>
    <w:p>
      <w:pPr>
        <w:widowControl/>
        <w:shd w:val="clear" w:color="auto" w:fill="FFFFFF"/>
        <w:wordWrap w:val="0"/>
        <w:ind w:firstLine="512"/>
        <w:jc w:val="left"/>
        <w:rPr>
          <w:rFonts w:hint="eastAsia" w:ascii="仿宋_GB2312" w:hAnsi="Segoe UI" w:eastAsia="仿宋_GB2312" w:cs="Segoe UI"/>
          <w:spacing w:val="8"/>
          <w:kern w:val="0"/>
          <w:sz w:val="24"/>
          <w:szCs w:val="24"/>
        </w:rPr>
      </w:pPr>
      <w:r>
        <w:rPr>
          <w:rFonts w:hint="eastAsia" w:ascii="仿宋_GB2312" w:hAnsi="Segoe UI" w:eastAsia="仿宋_GB2312" w:cs="Segoe UI"/>
          <w:spacing w:val="8"/>
          <w:kern w:val="0"/>
          <w:sz w:val="24"/>
          <w:szCs w:val="24"/>
        </w:rPr>
        <w:t>5、承诺函（格式见附件4）</w:t>
      </w:r>
    </w:p>
    <w:p>
      <w:pPr>
        <w:widowControl/>
        <w:shd w:val="clear" w:color="auto" w:fill="FFFFFF"/>
        <w:wordWrap w:val="0"/>
        <w:ind w:firstLine="512"/>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6、企业营业执照（复印件）</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9、生产厂家授权书（投标人不是生产厂家的）</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11、如是医疗器械，须提供“医疗器械产品注册证和注册登记表”（复印件）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16、产品质量及货源保证书</w:t>
      </w:r>
    </w:p>
    <w:p>
      <w:pPr>
        <w:widowControl/>
        <w:shd w:val="clear" w:color="auto" w:fill="FFFFFF"/>
        <w:wordWrap w:val="0"/>
        <w:ind w:firstLine="512" w:firstLineChars="20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18、如有，提供进口原材料证明书或产品报关资料等</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21、如有，国家规定的其它相关资质证明文件或其它涉及特许经营许可的须提供相关证书。如：卫生许可证、药品经营许可证、生产批件或新药证书等；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22、社保缴纳证明；</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23、</w:t>
      </w:r>
      <w:r>
        <w:rPr>
          <w:rFonts w:hint="eastAsia" w:ascii="仿宋_GB2312" w:hAnsi="Segoe UI" w:eastAsia="仿宋_GB2312" w:cs="Segoe UI"/>
          <w:color w:val="000000" w:themeColor="text1"/>
          <w:spacing w:val="8"/>
          <w:kern w:val="0"/>
          <w:sz w:val="24"/>
          <w:szCs w:val="24"/>
        </w:rPr>
        <w:t>封底。</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fill="FFFFFF"/>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fill="FFFFFF"/>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bl>
    <w:p>
      <w:pPr>
        <w:widowControl/>
        <w:shd w:val="clear" w:color="auto" w:fill="FFFFFF"/>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fill="FFFFFF"/>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fill="FFFFFF"/>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fill="FFFFFF"/>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fill="FFFFFF"/>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fill="FFFFFF"/>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fill="FFFFFF"/>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fill="FFFFFF"/>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bl>
    <w:p>
      <w:pPr>
        <w:widowControl/>
        <w:shd w:val="clear" w:color="auto" w:fill="FFFFFF"/>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fill="FFFFFF"/>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fill="FFFFFF"/>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fill="FFFFFF"/>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21163"/>
      <w:bookmarkStart w:id="3" w:name="_Toc21676"/>
      <w:bookmarkStart w:id="4" w:name="_Toc9234"/>
      <w:bookmarkStart w:id="5" w:name="_Toc15614"/>
      <w:bookmarkStart w:id="6" w:name="_Toc3414"/>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12490"/>
      <w:bookmarkStart w:id="8" w:name="_Toc30494"/>
      <w:bookmarkStart w:id="9" w:name="_Toc60"/>
      <w:bookmarkStart w:id="10" w:name="_Toc5208"/>
      <w:bookmarkStart w:id="11" w:name="_Toc5499"/>
      <w:bookmarkStart w:id="12" w:name="_Toc14802"/>
      <w:bookmarkStart w:id="13" w:name="_Toc10689"/>
      <w:bookmarkStart w:id="14" w:name="_Toc30275"/>
      <w:bookmarkStart w:id="15" w:name="_Toc11076"/>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10183"/>
      <w:bookmarkStart w:id="17" w:name="_Toc3912"/>
      <w:bookmarkStart w:id="18" w:name="_Toc26481"/>
      <w:bookmarkStart w:id="19" w:name="_Toc3081"/>
      <w:bookmarkStart w:id="20" w:name="_Toc28103"/>
      <w:bookmarkStart w:id="21" w:name="_Toc10948"/>
      <w:bookmarkStart w:id="22" w:name="_Toc9131"/>
      <w:bookmarkStart w:id="23" w:name="_Toc32214"/>
      <w:bookmarkStart w:id="24" w:name="_Toc7067"/>
      <w:bookmarkStart w:id="25" w:name="_Toc30724"/>
      <w:bookmarkStart w:id="26" w:name="_Toc13021"/>
      <w:bookmarkStart w:id="27" w:name="_Toc19115"/>
      <w:bookmarkStart w:id="28" w:name="_Toc3392"/>
      <w:bookmarkStart w:id="29" w:name="_Toc18513"/>
      <w:bookmarkStart w:id="30" w:name="_Toc8717"/>
      <w:bookmarkStart w:id="31" w:name="_Toc30080"/>
      <w:bookmarkStart w:id="32" w:name="_Toc3447"/>
      <w:bookmarkStart w:id="33" w:name="_Toc18879"/>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7249"/>
      <w:bookmarkStart w:id="35" w:name="_Toc22795"/>
      <w:bookmarkStart w:id="36" w:name="_Toc30920"/>
      <w:bookmarkStart w:id="37" w:name="_Toc15196"/>
      <w:bookmarkStart w:id="38" w:name="_Toc30649"/>
      <w:bookmarkStart w:id="39" w:name="_Toc23645"/>
      <w:bookmarkStart w:id="40" w:name="_Toc18259"/>
      <w:bookmarkStart w:id="41" w:name="_Toc9042"/>
      <w:bookmarkStart w:id="42" w:name="_Toc10142"/>
      <w:bookmarkStart w:id="43" w:name="_Toc14004"/>
      <w:bookmarkStart w:id="44" w:name="_Toc23557"/>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26548"/>
      <w:bookmarkStart w:id="46" w:name="_Toc21988"/>
      <w:bookmarkStart w:id="47" w:name="_Toc24117"/>
      <w:bookmarkStart w:id="48" w:name="_Toc4775"/>
      <w:bookmarkStart w:id="49" w:name="_Toc30083"/>
      <w:bookmarkStart w:id="50" w:name="_Toc3534"/>
      <w:bookmarkStart w:id="51" w:name="_Toc19600"/>
      <w:bookmarkStart w:id="52" w:name="_Toc25516"/>
      <w:bookmarkStart w:id="53" w:name="_Toc3004"/>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16764"/>
      <w:bookmarkStart w:id="55" w:name="_Toc21982"/>
      <w:bookmarkStart w:id="56" w:name="_Toc14887"/>
      <w:bookmarkStart w:id="57" w:name="_Toc16666"/>
      <w:bookmarkStart w:id="58" w:name="_Toc3494"/>
      <w:bookmarkStart w:id="59" w:name="_Toc691"/>
      <w:bookmarkStart w:id="60" w:name="_Toc22198"/>
      <w:bookmarkStart w:id="61" w:name="_Toc32166"/>
      <w:bookmarkStart w:id="62" w:name="_Toc12333"/>
      <w:bookmarkStart w:id="63" w:name="_Toc23192"/>
      <w:bookmarkStart w:id="64" w:name="_Toc27376"/>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3943"/>
      <w:bookmarkStart w:id="66" w:name="_Toc25068"/>
      <w:bookmarkStart w:id="67" w:name="_Toc14269"/>
      <w:bookmarkStart w:id="68" w:name="_Toc1371"/>
      <w:bookmarkStart w:id="69" w:name="_Toc31581"/>
      <w:bookmarkStart w:id="70" w:name="_Toc10013"/>
      <w:bookmarkStart w:id="71" w:name="_Toc4577"/>
      <w:bookmarkStart w:id="72" w:name="_Toc22606"/>
      <w:bookmarkStart w:id="73" w:name="_Toc5412"/>
      <w:bookmarkStart w:id="74" w:name="_Toc11914"/>
      <w:bookmarkStart w:id="75" w:name="_Toc9263"/>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3908"/>
      <w:bookmarkStart w:id="77" w:name="_Toc31890"/>
      <w:bookmarkStart w:id="78" w:name="_Toc2316"/>
      <w:bookmarkStart w:id="79" w:name="_Toc10600"/>
      <w:bookmarkStart w:id="80" w:name="_Toc17108"/>
      <w:bookmarkStart w:id="81" w:name="_Toc29190"/>
      <w:bookmarkStart w:id="82" w:name="_Toc13267"/>
      <w:bookmarkStart w:id="83" w:name="_Toc18935"/>
      <w:bookmarkStart w:id="84" w:name="_Toc13677"/>
      <w:bookmarkStart w:id="85" w:name="_Toc2937"/>
      <w:bookmarkStart w:id="86" w:name="_Toc11489"/>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15916"/>
      <w:bookmarkStart w:id="88" w:name="_Toc26756"/>
      <w:bookmarkStart w:id="89" w:name="_Toc1313"/>
      <w:bookmarkStart w:id="90" w:name="_Toc32365"/>
      <w:bookmarkStart w:id="91" w:name="_Toc21351"/>
      <w:bookmarkStart w:id="92" w:name="_Toc31638"/>
      <w:bookmarkStart w:id="93" w:name="_Toc12088"/>
      <w:bookmarkStart w:id="94" w:name="_Toc14252"/>
      <w:bookmarkStart w:id="95" w:name="_Toc24122"/>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15894"/>
      <w:bookmarkStart w:id="98" w:name="_Toc9398"/>
      <w:bookmarkStart w:id="99" w:name="_Toc27948"/>
      <w:bookmarkStart w:id="100" w:name="_Toc29215"/>
      <w:bookmarkStart w:id="101" w:name="_Toc10583"/>
      <w:bookmarkStart w:id="102" w:name="_Toc23212"/>
      <w:bookmarkStart w:id="103" w:name="_Toc15083"/>
      <w:bookmarkStart w:id="104" w:name="_Toc26609"/>
      <w:bookmarkStart w:id="105" w:name="_Toc18046"/>
      <w:bookmarkStart w:id="106" w:name="_Toc19589"/>
      <w:bookmarkStart w:id="107" w:name="_Toc11278"/>
      <w:bookmarkStart w:id="108" w:name="_Toc27985"/>
      <w:bookmarkStart w:id="109" w:name="_Toc22760"/>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14546"/>
      <w:bookmarkStart w:id="111" w:name="_Toc17741"/>
      <w:bookmarkStart w:id="112" w:name="_Toc8348"/>
      <w:bookmarkStart w:id="113" w:name="_Toc29648"/>
      <w:bookmarkStart w:id="114" w:name="_Toc4116"/>
      <w:bookmarkStart w:id="115" w:name="_Toc27767"/>
      <w:bookmarkStart w:id="116" w:name="_Toc8083"/>
      <w:bookmarkStart w:id="117" w:name="_Toc757"/>
      <w:bookmarkStart w:id="118" w:name="_Toc24655"/>
      <w:bookmarkStart w:id="119" w:name="_Toc8940"/>
      <w:bookmarkStart w:id="120" w:name="_Toc17204"/>
      <w:bookmarkStart w:id="121" w:name="_Toc24107"/>
      <w:bookmarkStart w:id="122" w:name="_Toc24671"/>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22243"/>
      <w:bookmarkStart w:id="124" w:name="_Toc2003"/>
      <w:bookmarkStart w:id="125" w:name="_Toc8524"/>
      <w:bookmarkStart w:id="126" w:name="_Toc5840"/>
      <w:bookmarkStart w:id="127" w:name="_Toc24280"/>
      <w:bookmarkStart w:id="128" w:name="_Toc10950"/>
      <w:bookmarkStart w:id="129" w:name="_Toc20745"/>
      <w:bookmarkStart w:id="130" w:name="_Toc10308"/>
      <w:bookmarkStart w:id="131" w:name="_Toc14781"/>
      <w:bookmarkStart w:id="132" w:name="_Toc10945"/>
      <w:bookmarkStart w:id="133" w:name="_Toc12682"/>
      <w:bookmarkStart w:id="134" w:name="_Toc15917"/>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fill="FFFFFF"/>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fill="FFFFFF"/>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fill="FFFFFF"/>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fill="FFFFFF"/>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fill="FFFFFF"/>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fill="FFFFFF"/>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3506" w:type="dxa"/>
        <w:jc w:val="center"/>
        <w:shd w:val="clear" w:color="auto" w:fill="FFFFFF"/>
        <w:tblLayout w:type="autofit"/>
        <w:tblCellMar>
          <w:top w:w="0" w:type="dxa"/>
          <w:left w:w="0" w:type="dxa"/>
          <w:bottom w:w="0" w:type="dxa"/>
          <w:right w:w="0" w:type="dxa"/>
        </w:tblCellMar>
      </w:tblPr>
      <w:tblGrid>
        <w:gridCol w:w="580"/>
        <w:gridCol w:w="1417"/>
        <w:gridCol w:w="2030"/>
        <w:gridCol w:w="1418"/>
        <w:gridCol w:w="709"/>
        <w:gridCol w:w="992"/>
        <w:gridCol w:w="992"/>
        <w:gridCol w:w="1281"/>
        <w:gridCol w:w="971"/>
        <w:gridCol w:w="2130"/>
        <w:gridCol w:w="986"/>
      </w:tblGrid>
      <w:tr>
        <w:tblPrEx>
          <w:tblCellMar>
            <w:top w:w="0" w:type="dxa"/>
            <w:left w:w="0" w:type="dxa"/>
            <w:bottom w:w="0" w:type="dxa"/>
            <w:right w:w="0" w:type="dxa"/>
          </w:tblCellMar>
        </w:tblPrEx>
        <w:trPr>
          <w:trHeight w:val="735" w:hRule="atLeast"/>
          <w:jc w:val="center"/>
        </w:trPr>
        <w:tc>
          <w:tcPr>
            <w:tcW w:w="580"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2030"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92"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8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7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1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986" w:type="dxa"/>
            <w:tcBorders>
              <w:top w:val="single" w:color="auto" w:sz="8" w:space="0"/>
              <w:left w:val="nil"/>
              <w:bottom w:val="single" w:color="auto" w:sz="8" w:space="0"/>
              <w:right w:val="single" w:color="auto" w:sz="8" w:space="0"/>
            </w:tcBorders>
            <w:shd w:val="clear" w:color="auto" w:fill="FFFFFF"/>
            <w:vAlign w:val="center"/>
          </w:tcPr>
          <w:p>
            <w:pPr>
              <w:widowControl/>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备注</w:t>
            </w:r>
          </w:p>
          <w:p>
            <w:pPr>
              <w:widowControl/>
              <w:wordWrap w:val="0"/>
              <w:jc w:val="center"/>
              <w:rPr>
                <w:rFonts w:ascii="仿宋_GB2312" w:hAnsi="Segoe UI" w:eastAsia="仿宋_GB2312" w:cs="Segoe UI"/>
                <w:b/>
                <w:color w:val="000000" w:themeColor="text1"/>
                <w:kern w:val="0"/>
                <w:sz w:val="24"/>
                <w:szCs w:val="24"/>
              </w:rPr>
            </w:pPr>
          </w:p>
        </w:tc>
      </w:tr>
      <w:tr>
        <w:tblPrEx>
          <w:shd w:val="clear" w:color="auto" w:fill="FFFFFF"/>
          <w:tblCellMar>
            <w:top w:w="0" w:type="dxa"/>
            <w:left w:w="0" w:type="dxa"/>
            <w:bottom w:w="0" w:type="dxa"/>
            <w:right w:w="0" w:type="dxa"/>
          </w:tblCellMar>
        </w:tblPrEx>
        <w:trPr>
          <w:trHeight w:val="330" w:hRule="atLeast"/>
          <w:jc w:val="center"/>
        </w:trPr>
        <w:tc>
          <w:tcPr>
            <w:tcW w:w="580" w:type="dxa"/>
            <w:tcBorders>
              <w:top w:val="nil"/>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1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8"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shd w:val="clear" w:color="auto" w:fill="FFFFFF"/>
          <w:tblCellMar>
            <w:top w:w="0" w:type="dxa"/>
            <w:left w:w="0" w:type="dxa"/>
            <w:bottom w:w="0" w:type="dxa"/>
            <w:right w:w="0" w:type="dxa"/>
          </w:tblCellMar>
        </w:tblPrEx>
        <w:trPr>
          <w:trHeight w:val="390" w:hRule="atLeast"/>
          <w:jc w:val="center"/>
        </w:trPr>
        <w:tc>
          <w:tcPr>
            <w:tcW w:w="580" w:type="dxa"/>
            <w:tcBorders>
              <w:top w:val="nil"/>
              <w:left w:val="single" w:color="auto" w:sz="8"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13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986" w:type="dxa"/>
            <w:tcBorders>
              <w:top w:val="nil"/>
              <w:left w:val="nil"/>
              <w:bottom w:val="single" w:color="auto" w:sz="4" w:space="0"/>
              <w:right w:val="single" w:color="auto" w:sz="8"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3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41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wordWrap w:val="0"/>
              <w:jc w:val="center"/>
              <w:rPr>
                <w:rFonts w:ascii="宋体" w:hAnsi="宋体" w:eastAsia="宋体" w:cs="Segoe UI"/>
                <w:color w:val="000000" w:themeColor="text1"/>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8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13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986" w:type="dxa"/>
            <w:tcBorders>
              <w:top w:val="single" w:color="auto" w:sz="4" w:space="0"/>
              <w:left w:val="single" w:color="auto" w:sz="4" w:space="0"/>
              <w:bottom w:val="single" w:color="auto" w:sz="4" w:space="0"/>
              <w:right w:val="single" w:color="auto" w:sz="4" w:space="0"/>
            </w:tcBorders>
            <w:shd w:val="clear" w:color="auto" w:fill="FFFFFF"/>
          </w:tcPr>
          <w:p>
            <w:pPr>
              <w:widowControl/>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00" w:hRule="atLeast"/>
          <w:jc w:val="center"/>
        </w:trPr>
        <w:tc>
          <w:tcPr>
            <w:tcW w:w="13506" w:type="dxa"/>
            <w:gridSpan w:val="11"/>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tabs>
                <w:tab w:val="left" w:pos="5511"/>
              </w:tabs>
              <w:wordWrap w:val="0"/>
              <w:jc w:val="left"/>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fill="FFFFFF"/>
        <w:wordWrap w:val="0"/>
        <w:jc w:val="left"/>
        <w:rPr>
          <w:rFonts w:ascii="仿宋_GB2312" w:hAnsi="Segoe UI" w:eastAsia="仿宋_GB2312" w:cs="Segoe UI"/>
          <w:color w:val="000000" w:themeColor="text1"/>
          <w:kern w:val="0"/>
          <w:sz w:val="24"/>
          <w:szCs w:val="24"/>
        </w:rPr>
      </w:pPr>
    </w:p>
    <w:p>
      <w:pPr>
        <w:widowControl/>
        <w:shd w:val="clear" w:color="auto" w:fill="FFFFFF"/>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fill="FFFFFF"/>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fill="FFFFFF"/>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fill="FFFFFF"/>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授权代表签字：</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fill="FFFFFF"/>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fill="FFFFFF"/>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fill="FFFFFF"/>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fill="FFFFFF"/>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Segoe UI" w:eastAsia="仿宋_GB2312" w:cs="Segoe UI"/>
          <w:color w:val="000000" w:themeColor="text1"/>
          <w:kern w:val="0"/>
          <w:sz w:val="24"/>
          <w:szCs w:val="24"/>
        </w:rPr>
      </w:pPr>
      <w:r>
        <w:rPr>
          <w:rFonts w:hint="eastAsia" w:ascii="仿宋_GB2312" w:hAnsi="仿宋_GB2312" w:eastAsia="仿宋_GB2312" w:cs="仿宋_GB2312"/>
          <w:sz w:val="28"/>
          <w:szCs w:val="28"/>
        </w:rPr>
        <w:t>日期：   年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46E5"/>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D7F0F"/>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0E95"/>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2921"/>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32915"/>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E30BD"/>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0E1F"/>
    <w:rsid w:val="00DB3F6C"/>
    <w:rsid w:val="00DC3AB1"/>
    <w:rsid w:val="00DC4C36"/>
    <w:rsid w:val="00DE14EC"/>
    <w:rsid w:val="00DE31ED"/>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E911C5D"/>
    <w:rsid w:val="195D2073"/>
    <w:rsid w:val="2DB74145"/>
    <w:rsid w:val="34C1527C"/>
    <w:rsid w:val="34E74E35"/>
    <w:rsid w:val="364F4E7F"/>
    <w:rsid w:val="365344A5"/>
    <w:rsid w:val="439F78E1"/>
    <w:rsid w:val="51CB3FD0"/>
    <w:rsid w:val="5536063D"/>
    <w:rsid w:val="62FA0171"/>
    <w:rsid w:val="65C660EF"/>
    <w:rsid w:val="701306BF"/>
    <w:rsid w:val="75233D75"/>
    <w:rsid w:val="78BA1DAC"/>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26"/>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link w:val="25"/>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 w:type="character" w:customStyle="1" w:styleId="24">
    <w:name w:val="NormalCharacter"/>
    <w:qFormat/>
    <w:uiPriority w:val="0"/>
  </w:style>
  <w:style w:type="character" w:customStyle="1" w:styleId="25">
    <w:name w:val="正文文本缩进 2 Char"/>
    <w:basedOn w:val="14"/>
    <w:link w:val="6"/>
    <w:semiHidden/>
    <w:qFormat/>
    <w:uiPriority w:val="99"/>
    <w:rPr>
      <w:rFonts w:asciiTheme="minorHAnsi" w:hAnsiTheme="minorHAnsi" w:eastAsiaTheme="minorEastAsia" w:cstheme="minorBidi"/>
      <w:kern w:val="2"/>
      <w:sz w:val="21"/>
      <w:szCs w:val="22"/>
    </w:rPr>
  </w:style>
  <w:style w:type="character" w:customStyle="1" w:styleId="26">
    <w:name w:val="正文文本 Char"/>
    <w:basedOn w:val="14"/>
    <w:link w:val="2"/>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EA8A53-B26B-4B29-A513-F392F504E0E9}">
  <ds:schemaRefs/>
</ds:datastoreItem>
</file>

<file path=docProps/app.xml><?xml version="1.0" encoding="utf-8"?>
<Properties xmlns="http://schemas.openxmlformats.org/officeDocument/2006/extended-properties" xmlns:vt="http://schemas.openxmlformats.org/officeDocument/2006/docPropsVTypes">
  <Template>Normal</Template>
  <Pages>11</Pages>
  <Words>908</Words>
  <Characters>5182</Characters>
  <Lines>43</Lines>
  <Paragraphs>12</Paragraphs>
  <TotalTime>32</TotalTime>
  <ScaleCrop>false</ScaleCrop>
  <LinksUpToDate>false</LinksUpToDate>
  <CharactersWithSpaces>6078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Administrator</cp:lastModifiedBy>
  <dcterms:modified xsi:type="dcterms:W3CDTF">2023-10-20T00:28:55Z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