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采购项目编号：SCFY-YXZB202310-12（磋）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预算：11.6万元</w:t>
      </w:r>
      <w:r>
        <w:rPr>
          <w:rFonts w:hint="eastAsia" w:ascii="宋体" w:hAnsi="宋体" w:eastAsia="宋体" w:cs="仿宋"/>
          <w:sz w:val="24"/>
          <w:szCs w:val="24"/>
          <w:lang w:val="en-US" w:eastAsia="zh-CN"/>
        </w:rPr>
        <w:t>/年</w:t>
      </w:r>
      <w:bookmarkStart w:id="135" w:name="_GoBack"/>
      <w:bookmarkEnd w:id="135"/>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64"/>
        <w:gridCol w:w="981"/>
        <w:gridCol w:w="981"/>
        <w:gridCol w:w="1100"/>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3"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3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92"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92"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552"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856"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73" w:type="pct"/>
            <w:vMerge w:val="continue"/>
            <w:noWrap w:val="0"/>
            <w:vAlign w:val="center"/>
          </w:tcPr>
          <w:p>
            <w:pPr>
              <w:spacing w:line="420" w:lineRule="exact"/>
              <w:jc w:val="center"/>
              <w:rPr>
                <w:rFonts w:hint="eastAsia" w:cs="宋体"/>
                <w:color w:val="000000"/>
                <w:kern w:val="0"/>
              </w:rPr>
            </w:pPr>
          </w:p>
        </w:tc>
        <w:tc>
          <w:tcPr>
            <w:tcW w:w="233"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492" w:type="pct"/>
            <w:noWrap w:val="0"/>
            <w:vAlign w:val="center"/>
          </w:tcPr>
          <w:p>
            <w:pPr>
              <w:widowControl/>
              <w:jc w:val="center"/>
              <w:rPr>
                <w:rFonts w:hint="eastAsia" w:ascii="宋体" w:hAnsi="宋体" w:eastAsia="宋体" w:cs="宋体"/>
                <w:color w:val="000000"/>
                <w:kern w:val="2"/>
                <w:sz w:val="21"/>
                <w:szCs w:val="21"/>
                <w:lang w:val="en-US" w:eastAsia="zh-CN" w:bidi="ar-SA"/>
              </w:rPr>
            </w:pPr>
            <w:r>
              <w:rPr>
                <w:rFonts w:hint="eastAsia" w:ascii="宋体" w:hAnsi="宋体"/>
                <w:lang w:val="en-US" w:eastAsia="zh-CN"/>
              </w:rPr>
              <w:t>鼻腔止血海绵</w:t>
            </w:r>
          </w:p>
        </w:tc>
        <w:tc>
          <w:tcPr>
            <w:tcW w:w="492" w:type="pct"/>
            <w:noWrap w:val="0"/>
            <w:vAlign w:val="center"/>
          </w:tcPr>
          <w:p>
            <w:pPr>
              <w:widowControl/>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115元</w:t>
            </w:r>
          </w:p>
        </w:tc>
        <w:tc>
          <w:tcPr>
            <w:tcW w:w="552" w:type="pct"/>
            <w:noWrap w:val="0"/>
            <w:vAlign w:val="center"/>
          </w:tcPr>
          <w:p>
            <w:pPr>
              <w:widowControl/>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lang w:val="en-US" w:eastAsia="zh-CN" w:bidi="ar-SA"/>
              </w:rPr>
              <w:t>200</w:t>
            </w:r>
            <w:r>
              <w:rPr>
                <w:rFonts w:hint="eastAsia" w:ascii="宋体" w:hAnsi="宋体" w:cs="宋体"/>
                <w:color w:val="000000"/>
                <w:sz w:val="21"/>
                <w:lang w:val="en-US" w:eastAsia="zh-CN" w:bidi="ar-SA"/>
              </w:rPr>
              <w:t>个</w:t>
            </w:r>
          </w:p>
        </w:tc>
        <w:tc>
          <w:tcPr>
            <w:tcW w:w="2856" w:type="pct"/>
            <w:noWrap w:val="0"/>
            <w:vAlign w:val="top"/>
          </w:tcPr>
          <w:p>
            <w:pPr>
              <w:pStyle w:val="2"/>
              <w:rPr>
                <w:rFonts w:hint="default" w:eastAsia="宋体"/>
                <w:lang w:val="en-US" w:eastAsia="zh-CN"/>
              </w:rPr>
            </w:pPr>
            <w:r>
              <w:rPr>
                <w:rFonts w:hint="default" w:eastAsia="宋体"/>
                <w:lang w:val="en-US" w:eastAsia="zh-CN"/>
              </w:rPr>
              <w:t>1.抑制鼻腔出血、鼻衄设计，可用于鼻中隔整形、鼻整形及其他鼻腔手术中的鼻腔止血。</w:t>
            </w:r>
          </w:p>
          <w:p>
            <w:pPr>
              <w:pStyle w:val="2"/>
              <w:rPr>
                <w:rFonts w:hint="default" w:eastAsia="宋体"/>
                <w:lang w:val="en-US" w:eastAsia="zh-CN"/>
              </w:rPr>
            </w:pPr>
            <w:r>
              <w:rPr>
                <w:rFonts w:hint="eastAsia" w:ascii="宋体" w:hAnsi="宋体" w:cs="宋体"/>
                <w:kern w:val="0"/>
                <w:sz w:val="18"/>
                <w:szCs w:val="18"/>
              </w:rPr>
              <w:t>*</w:t>
            </w:r>
            <w:r>
              <w:rPr>
                <w:rFonts w:hint="default" w:eastAsia="宋体"/>
                <w:lang w:val="en-US" w:eastAsia="zh-CN"/>
              </w:rPr>
              <w:t>2.100％聚乙烯醇（PVA）。</w:t>
            </w:r>
          </w:p>
          <w:p>
            <w:pPr>
              <w:pStyle w:val="2"/>
              <w:rPr>
                <w:rFonts w:hint="default" w:eastAsia="宋体"/>
                <w:lang w:val="en-US" w:eastAsia="zh-CN"/>
              </w:rPr>
            </w:pPr>
            <w:r>
              <w:rPr>
                <w:rFonts w:hint="default" w:eastAsia="宋体"/>
                <w:lang w:val="en-US" w:eastAsia="zh-CN"/>
              </w:rPr>
              <w:t>3.尺寸：≥8.0×1.5×2cm。</w:t>
            </w:r>
          </w:p>
          <w:p>
            <w:pPr>
              <w:pStyle w:val="2"/>
              <w:rPr>
                <w:rFonts w:hint="default" w:eastAsia="宋体"/>
                <w:lang w:val="en-US" w:eastAsia="zh-CN"/>
              </w:rPr>
            </w:pPr>
            <w:r>
              <w:rPr>
                <w:rFonts w:hint="eastAsia" w:ascii="宋体" w:hAnsi="宋体" w:cs="宋体"/>
                <w:kern w:val="0"/>
                <w:sz w:val="18"/>
                <w:szCs w:val="18"/>
              </w:rPr>
              <w:t>*</w:t>
            </w:r>
            <w:r>
              <w:rPr>
                <w:rFonts w:hint="default" w:eastAsia="宋体"/>
                <w:lang w:val="en-US" w:eastAsia="zh-CN"/>
              </w:rPr>
              <w:t>4.具备带抑菌因子、通气管等类型，适用于各类患者。</w:t>
            </w:r>
          </w:p>
          <w:p>
            <w:pPr>
              <w:pStyle w:val="2"/>
              <w:rPr>
                <w:rFonts w:hint="default" w:eastAsia="宋体"/>
                <w:lang w:val="en-US" w:eastAsia="zh-CN"/>
              </w:rPr>
            </w:pPr>
            <w:r>
              <w:rPr>
                <w:rFonts w:hint="default" w:eastAsia="宋体"/>
                <w:lang w:val="en-US" w:eastAsia="zh-CN"/>
              </w:rPr>
              <w:t>4. 为海绵状多孔而富有弹性的结构材料，浸湿时膨胀。</w:t>
            </w:r>
          </w:p>
          <w:p>
            <w:pPr>
              <w:pStyle w:val="2"/>
              <w:rPr>
                <w:rFonts w:hint="default" w:eastAsia="宋体"/>
                <w:lang w:val="en-US" w:eastAsia="zh-CN"/>
              </w:rPr>
            </w:pPr>
            <w:r>
              <w:rPr>
                <w:rFonts w:hint="default" w:eastAsia="宋体"/>
                <w:lang w:val="en-US" w:eastAsia="zh-CN"/>
              </w:rPr>
              <w:t>5. 材料不含纤维，柔软、舒适,与组织亲和力好，吸水能力优异。</w:t>
            </w:r>
          </w:p>
          <w:p>
            <w:pPr>
              <w:pStyle w:val="2"/>
              <w:rPr>
                <w:rFonts w:hint="default" w:eastAsia="宋体"/>
                <w:lang w:val="en-US" w:eastAsia="zh-CN"/>
              </w:rPr>
            </w:pPr>
            <w:r>
              <w:rPr>
                <w:rFonts w:hint="default" w:eastAsia="宋体"/>
                <w:lang w:val="en-US" w:eastAsia="zh-CN"/>
              </w:rPr>
              <w:t>6.还原状态下，与鼻腔结构适形非常好，同时能最大程度减轻对隔邻组织的压力。</w:t>
            </w:r>
          </w:p>
          <w:p>
            <w:pPr>
              <w:pStyle w:val="2"/>
              <w:rPr>
                <w:rFonts w:hint="default" w:eastAsia="宋体"/>
                <w:lang w:val="en-US" w:eastAsia="zh-CN"/>
              </w:rPr>
            </w:pPr>
            <w:r>
              <w:rPr>
                <w:rFonts w:hint="default" w:eastAsia="宋体"/>
                <w:lang w:val="en-US" w:eastAsia="zh-CN"/>
              </w:rPr>
              <w:t>7.微孔，组织不易长入，易取出。</w:t>
            </w:r>
          </w:p>
          <w:p>
            <w:pPr>
              <w:pStyle w:val="2"/>
              <w:rPr>
                <w:rFonts w:hint="default" w:eastAsia="宋体"/>
                <w:lang w:val="en-US" w:eastAsia="zh-CN"/>
              </w:rPr>
            </w:pPr>
            <w:r>
              <w:rPr>
                <w:rFonts w:hint="default" w:eastAsia="宋体"/>
                <w:lang w:val="en-US" w:eastAsia="zh-CN"/>
              </w:rPr>
              <w:t>8.高吸水性，膨胀均匀。</w:t>
            </w:r>
          </w:p>
          <w:p>
            <w:pPr>
              <w:pStyle w:val="2"/>
              <w:rPr>
                <w:rFonts w:hint="default" w:eastAsia="宋体"/>
                <w:lang w:val="en-US" w:eastAsia="zh-CN"/>
              </w:rPr>
            </w:pPr>
            <w:r>
              <w:rPr>
                <w:rFonts w:hint="default" w:eastAsia="宋体"/>
                <w:lang w:val="en-US" w:eastAsia="zh-CN"/>
              </w:rPr>
              <w:t>9.无菌压缩包装。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73" w:type="pct"/>
            <w:vMerge w:val="continue"/>
            <w:noWrap w:val="0"/>
            <w:vAlign w:val="center"/>
          </w:tcPr>
          <w:p>
            <w:pPr>
              <w:spacing w:line="420" w:lineRule="exact"/>
              <w:jc w:val="center"/>
              <w:rPr>
                <w:rFonts w:hint="eastAsia" w:cs="宋体"/>
                <w:color w:val="000000"/>
                <w:kern w:val="0"/>
              </w:rPr>
            </w:pPr>
          </w:p>
        </w:tc>
        <w:tc>
          <w:tcPr>
            <w:tcW w:w="233"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492" w:type="pct"/>
            <w:noWrap w:val="0"/>
            <w:vAlign w:val="center"/>
          </w:tcPr>
          <w:p>
            <w:pPr>
              <w:widowControl/>
              <w:jc w:val="center"/>
              <w:rPr>
                <w:rFonts w:hint="eastAsia" w:ascii="宋体" w:hAnsi="宋体"/>
                <w:lang w:val="en-US" w:eastAsia="zh-CN"/>
              </w:rPr>
            </w:pPr>
            <w:r>
              <w:rPr>
                <w:rFonts w:hint="eastAsia" w:ascii="宋体" w:hAnsi="宋体"/>
                <w:lang w:val="en-US" w:eastAsia="zh-CN"/>
              </w:rPr>
              <w:t>可吸收鼻腔止血海绵</w:t>
            </w:r>
          </w:p>
        </w:tc>
        <w:tc>
          <w:tcPr>
            <w:tcW w:w="492" w:type="pct"/>
            <w:noWrap w:val="0"/>
            <w:vAlign w:val="center"/>
          </w:tcPr>
          <w:p>
            <w:pPr>
              <w:widowControl/>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620元</w:t>
            </w:r>
          </w:p>
        </w:tc>
        <w:tc>
          <w:tcPr>
            <w:tcW w:w="552" w:type="pct"/>
            <w:noWrap w:val="0"/>
            <w:vAlign w:val="center"/>
          </w:tcPr>
          <w:p>
            <w:pPr>
              <w:widowControl/>
              <w:jc w:val="center"/>
              <w:rPr>
                <w:rFonts w:hint="default" w:ascii="宋体" w:hAnsi="宋体" w:eastAsia="宋体" w:cs="宋体"/>
                <w:color w:val="000000"/>
                <w:sz w:val="21"/>
                <w:lang w:val="en-US" w:eastAsia="zh-CN" w:bidi="ar-SA"/>
              </w:rPr>
            </w:pPr>
            <w:r>
              <w:rPr>
                <w:rFonts w:hint="eastAsia" w:ascii="宋体" w:hAnsi="宋体" w:cs="宋体"/>
                <w:color w:val="000000"/>
                <w:sz w:val="21"/>
                <w:lang w:val="en-US" w:eastAsia="zh-CN" w:bidi="ar-SA"/>
              </w:rPr>
              <w:t>150个</w:t>
            </w:r>
          </w:p>
        </w:tc>
        <w:tc>
          <w:tcPr>
            <w:tcW w:w="2856" w:type="pct"/>
            <w:noWrap w:val="0"/>
            <w:vAlign w:val="top"/>
          </w:tcPr>
          <w:p>
            <w:pPr>
              <w:pStyle w:val="2"/>
              <w:rPr>
                <w:rFonts w:hint="default" w:eastAsia="宋体"/>
                <w:lang w:val="en-US" w:eastAsia="zh-CN"/>
              </w:rPr>
            </w:pPr>
            <w:r>
              <w:rPr>
                <w:rFonts w:hint="default" w:eastAsia="宋体"/>
                <w:lang w:val="en-US" w:eastAsia="zh-CN"/>
              </w:rPr>
              <w:t>*1. 成分：是纯植物源产品。植物多糖或羟乙基纤维素制成，能吸收血液中的水分，浓缩凝血因子加速止血。</w:t>
            </w:r>
          </w:p>
          <w:p>
            <w:pPr>
              <w:pStyle w:val="2"/>
              <w:rPr>
                <w:rFonts w:hint="default" w:eastAsia="宋体"/>
                <w:lang w:val="en-US" w:eastAsia="zh-CN"/>
              </w:rPr>
            </w:pPr>
            <w:r>
              <w:rPr>
                <w:rFonts w:hint="default" w:eastAsia="宋体"/>
                <w:lang w:val="en-US" w:eastAsia="zh-CN"/>
              </w:rPr>
              <w:t>2.膨胀厚度不小于2.5cm</w:t>
            </w:r>
            <w:r>
              <w:rPr>
                <w:rFonts w:hint="eastAsia"/>
                <w:lang w:val="en-US" w:eastAsia="zh-CN"/>
              </w:rPr>
              <w:t>。</w:t>
            </w:r>
          </w:p>
          <w:p>
            <w:pPr>
              <w:pStyle w:val="2"/>
              <w:rPr>
                <w:rFonts w:hint="eastAsia"/>
                <w:lang w:val="en-US" w:eastAsia="zh-CN"/>
              </w:rPr>
            </w:pPr>
            <w:r>
              <w:rPr>
                <w:rFonts w:hint="default" w:eastAsia="宋体"/>
                <w:lang w:val="en-US" w:eastAsia="zh-CN"/>
              </w:rPr>
              <w:t>3.止血材料可在7~9天完全降解，无需再次取出，符合伤口愈合周期</w:t>
            </w:r>
            <w:r>
              <w:rPr>
                <w:rFonts w:hint="eastAsia"/>
                <w:lang w:val="en-US" w:eastAsia="zh-CN"/>
              </w:rPr>
              <w:t>。</w:t>
            </w:r>
          </w:p>
          <w:p>
            <w:pPr>
              <w:pStyle w:val="2"/>
              <w:rPr>
                <w:rFonts w:hint="default" w:eastAsia="宋体"/>
                <w:lang w:val="en-US" w:eastAsia="zh-CN"/>
              </w:rPr>
            </w:pPr>
            <w:r>
              <w:rPr>
                <w:rFonts w:hint="default" w:eastAsia="宋体"/>
                <w:lang w:val="en-US" w:eastAsia="zh-CN"/>
              </w:rPr>
              <w:t xml:space="preserve"> *4.储存条件：无需冷链储运，常温储存。</w:t>
            </w:r>
          </w:p>
          <w:p>
            <w:pPr>
              <w:pStyle w:val="2"/>
              <w:rPr>
                <w:rFonts w:hint="default" w:eastAsia="宋体"/>
                <w:lang w:val="en-US" w:eastAsia="zh-CN"/>
              </w:rPr>
            </w:pPr>
            <w:r>
              <w:rPr>
                <w:rFonts w:hint="default" w:eastAsia="宋体"/>
                <w:lang w:val="en-US" w:eastAsia="zh-CN"/>
              </w:rPr>
              <w:t>5.规格：长≥5cm</w:t>
            </w:r>
            <w:r>
              <w:rPr>
                <w:rFonts w:hint="eastAsia"/>
                <w:lang w:val="en-US" w:eastAsia="zh-CN"/>
              </w:rPr>
              <w:t>，</w:t>
            </w:r>
            <w:r>
              <w:rPr>
                <w:rFonts w:hint="default" w:eastAsia="宋体"/>
                <w:lang w:val="en-US" w:eastAsia="zh-CN"/>
              </w:rPr>
              <w:t>宽≥1.5cm</w:t>
            </w:r>
            <w:r>
              <w:rPr>
                <w:rFonts w:hint="eastAsia"/>
                <w:lang w:val="en-US" w:eastAsia="zh-CN"/>
              </w:rPr>
              <w:t>。</w:t>
            </w:r>
          </w:p>
        </w:tc>
      </w:tr>
    </w:tbl>
    <w:p>
      <w:pPr>
        <w:pStyle w:val="4"/>
        <w:ind w:left="0" w:leftChars="0" w:firstLine="0" w:firstLineChars="0"/>
        <w:rPr>
          <w:rFonts w:hint="eastAsia"/>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若为Ⅱ、Ⅲ类医疗器械，则</w:t>
      </w:r>
      <w:r>
        <w:rPr>
          <w:rFonts w:hint="eastAsia" w:ascii="Times New Roman" w:hAnsi="Times New Roman" w:eastAsia="宋体" w:cs="Times New Roman"/>
        </w:rPr>
        <w:t>必须为四川省药械集中采购及医药价格监管平台挂网公示产品,并提供挂网商品代码（已经挂网的需要提供集采平台挂网截图）</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rPr>
          <w:rFonts w:hint="eastAsia" w:ascii="宋体" w:hAnsi="宋体" w:eastAsia="宋体" w:cs="Segoe UI"/>
          <w:b/>
          <w:bCs/>
          <w:kern w:val="0"/>
          <w:sz w:val="28"/>
          <w:szCs w:val="28"/>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供应商的“投标总价”仅做为报价评审依据，最终根据实际需求进行相应调整，结算以实际发生量乘以供应商投标单价结算，且不超过每年的预算总价。</w:t>
      </w: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60"/>
        <w:gridCol w:w="511"/>
        <w:gridCol w:w="520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9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3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41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2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pct"/>
          <w:trHeight w:val="701" w:hRule="atLeast"/>
          <w:jc w:val="center"/>
        </w:trPr>
        <w:tc>
          <w:tcPr>
            <w:tcW w:w="233"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418"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244"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pct"/>
          <w:trHeight w:val="1337" w:hRule="atLeast"/>
          <w:jc w:val="center"/>
        </w:trPr>
        <w:tc>
          <w:tcPr>
            <w:tcW w:w="233"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18"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2</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244"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pct"/>
          <w:trHeight w:val="701" w:hRule="atLeast"/>
          <w:jc w:val="center"/>
        </w:trPr>
        <w:tc>
          <w:tcPr>
            <w:tcW w:w="233"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92"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418"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w:t>
            </w:r>
            <w:r>
              <w:rPr>
                <w:rFonts w:hint="eastAsia" w:ascii="宋体" w:hAnsi="宋体" w:cs="宋体"/>
                <w:b/>
                <w:bCs/>
                <w:kern w:val="0"/>
                <w:sz w:val="18"/>
                <w:szCs w:val="18"/>
              </w:rPr>
              <w:t>（鼻腔止血海绵和</w:t>
            </w:r>
            <w:r>
              <w:rPr>
                <w:rFonts w:hint="eastAsia" w:ascii="宋体" w:hAnsi="宋体" w:cs="宋体"/>
                <w:b/>
                <w:bCs/>
                <w:kern w:val="0"/>
                <w:sz w:val="18"/>
                <w:szCs w:val="18"/>
                <w:lang w:val="en-US" w:eastAsia="zh-CN"/>
              </w:rPr>
              <w:t>可吸收</w:t>
            </w:r>
            <w:r>
              <w:rPr>
                <w:rFonts w:hint="eastAsia" w:ascii="宋体" w:hAnsi="宋体" w:cs="宋体"/>
                <w:b/>
                <w:bCs/>
                <w:kern w:val="0"/>
                <w:sz w:val="18"/>
                <w:szCs w:val="18"/>
              </w:rPr>
              <w:t>鼻腔止血海绵样品各1个）</w:t>
            </w:r>
            <w:r>
              <w:rPr>
                <w:rFonts w:hint="eastAsia" w:ascii="宋体" w:hAnsi="宋体" w:cs="宋体"/>
                <w:kern w:val="0"/>
                <w:sz w:val="18"/>
                <w:szCs w:val="18"/>
              </w:rPr>
              <w:t>，根据样品的外观、材质、性能、是否符合临床需求等综合评定，优9-1</w:t>
            </w:r>
            <w:r>
              <w:rPr>
                <w:rFonts w:hint="eastAsia" w:ascii="宋体" w:hAnsi="宋体" w:cs="宋体"/>
                <w:kern w:val="0"/>
                <w:sz w:val="18"/>
                <w:szCs w:val="18"/>
                <w:lang w:val="en-US" w:eastAsia="zh-CN"/>
              </w:rPr>
              <w:t>1</w:t>
            </w:r>
            <w:r>
              <w:rPr>
                <w:rFonts w:hint="eastAsia" w:ascii="宋体" w:hAnsi="宋体" w:cs="宋体"/>
                <w:kern w:val="0"/>
                <w:sz w:val="18"/>
                <w:szCs w:val="18"/>
              </w:rPr>
              <w:t>分；良得6-8分；差得1-5分；未提供或提供不全本项不得分。</w:t>
            </w:r>
          </w:p>
        </w:tc>
        <w:tc>
          <w:tcPr>
            <w:tcW w:w="1244"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pct"/>
          <w:trHeight w:val="775" w:hRule="atLeast"/>
          <w:jc w:val="center"/>
        </w:trPr>
        <w:tc>
          <w:tcPr>
            <w:tcW w:w="233"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92"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418"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244" w:type="pct"/>
            <w:noWrap w:val="0"/>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r>
              <w:rPr>
                <w:rFonts w:hint="eastAsia" w:ascii="宋体" w:hAnsi="宋体" w:cs="Segoe UI"/>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pct"/>
          <w:trHeight w:val="1166" w:hRule="atLeast"/>
          <w:jc w:val="center"/>
        </w:trPr>
        <w:tc>
          <w:tcPr>
            <w:tcW w:w="233"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92"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237"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418"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244"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676"/>
      <w:bookmarkStart w:id="3" w:name="_Toc3414"/>
      <w:bookmarkStart w:id="4" w:name="_Toc21163"/>
      <w:bookmarkStart w:id="5" w:name="_Toc9234"/>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14802"/>
      <w:bookmarkStart w:id="9" w:name="_Toc10689"/>
      <w:bookmarkStart w:id="10" w:name="_Toc5499"/>
      <w:bookmarkStart w:id="11" w:name="_Toc12490"/>
      <w:bookmarkStart w:id="12" w:name="_Toc30275"/>
      <w:bookmarkStart w:id="13" w:name="_Toc11076"/>
      <w:bookmarkStart w:id="14" w:name="_Toc5208"/>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9131"/>
      <w:bookmarkStart w:id="17" w:name="_Toc10948"/>
      <w:bookmarkStart w:id="18" w:name="_Toc10183"/>
      <w:bookmarkStart w:id="19" w:name="_Toc30724"/>
      <w:bookmarkStart w:id="20" w:name="_Toc13021"/>
      <w:bookmarkStart w:id="21" w:name="_Toc26481"/>
      <w:bookmarkStart w:id="22" w:name="_Toc32214"/>
      <w:bookmarkStart w:id="23" w:name="_Toc3912"/>
      <w:bookmarkStart w:id="24" w:name="_Toc28103"/>
      <w:bookmarkStart w:id="25" w:name="_Toc7067"/>
      <w:bookmarkStart w:id="26" w:name="_Toc3081"/>
      <w:bookmarkStart w:id="27" w:name="_Toc8717"/>
      <w:bookmarkStart w:id="28" w:name="_Toc19115"/>
      <w:bookmarkStart w:id="29" w:name="_Toc30080"/>
      <w:bookmarkStart w:id="30" w:name="_Toc18879"/>
      <w:bookmarkStart w:id="31" w:name="_Toc3392"/>
      <w:bookmarkStart w:id="32" w:name="_Toc344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3645"/>
      <w:bookmarkStart w:id="35" w:name="_Toc18259"/>
      <w:bookmarkStart w:id="36" w:name="_Toc30920"/>
      <w:bookmarkStart w:id="37" w:name="_Toc9042"/>
      <w:bookmarkStart w:id="38" w:name="_Toc7249"/>
      <w:bookmarkStart w:id="39" w:name="_Toc10142"/>
      <w:bookmarkStart w:id="40" w:name="_Toc30649"/>
      <w:bookmarkStart w:id="41" w:name="_Toc22795"/>
      <w:bookmarkStart w:id="42" w:name="_Toc15196"/>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3534"/>
      <w:bookmarkStart w:id="47" w:name="_Toc25516"/>
      <w:bookmarkStart w:id="48" w:name="_Toc30083"/>
      <w:bookmarkStart w:id="49" w:name="_Toc4775"/>
      <w:bookmarkStart w:id="50" w:name="_Toc3004"/>
      <w:bookmarkStart w:id="51" w:name="_Toc24117"/>
      <w:bookmarkStart w:id="52" w:name="_Toc21988"/>
      <w:bookmarkStart w:id="53" w:name="_Toc19600"/>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691"/>
      <w:bookmarkStart w:id="55" w:name="_Toc27376"/>
      <w:bookmarkStart w:id="56" w:name="_Toc22198"/>
      <w:bookmarkStart w:id="57" w:name="_Toc14887"/>
      <w:bookmarkStart w:id="58" w:name="_Toc16764"/>
      <w:bookmarkStart w:id="59" w:name="_Toc16666"/>
      <w:bookmarkStart w:id="60" w:name="_Toc12333"/>
      <w:bookmarkStart w:id="61" w:name="_Toc32166"/>
      <w:bookmarkStart w:id="62" w:name="_Toc3494"/>
      <w:bookmarkStart w:id="63" w:name="_Toc21982"/>
      <w:bookmarkStart w:id="64" w:name="_Toc2319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943"/>
      <w:bookmarkStart w:id="66" w:name="_Toc10013"/>
      <w:bookmarkStart w:id="67" w:name="_Toc22606"/>
      <w:bookmarkStart w:id="68" w:name="_Toc25068"/>
      <w:bookmarkStart w:id="69" w:name="_Toc14269"/>
      <w:bookmarkStart w:id="70" w:name="_Toc1371"/>
      <w:bookmarkStart w:id="71" w:name="_Toc31581"/>
      <w:bookmarkStart w:id="72" w:name="_Toc9263"/>
      <w:bookmarkStart w:id="73" w:name="_Toc11914"/>
      <w:bookmarkStart w:id="74" w:name="_Toc4577"/>
      <w:bookmarkStart w:id="75" w:name="_Toc5412"/>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3908"/>
      <w:bookmarkStart w:id="78" w:name="_Toc31890"/>
      <w:bookmarkStart w:id="79" w:name="_Toc2316"/>
      <w:bookmarkStart w:id="80" w:name="_Toc11489"/>
      <w:bookmarkStart w:id="81" w:name="_Toc13677"/>
      <w:bookmarkStart w:id="82" w:name="_Toc10600"/>
      <w:bookmarkStart w:id="83" w:name="_Toc29190"/>
      <w:bookmarkStart w:id="84" w:name="_Toc13267"/>
      <w:bookmarkStart w:id="85" w:name="_Toc2937"/>
      <w:bookmarkStart w:id="86" w:name="_Toc171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313"/>
      <w:bookmarkStart w:id="88" w:name="_Toc32365"/>
      <w:bookmarkStart w:id="89" w:name="_Toc21351"/>
      <w:bookmarkStart w:id="90" w:name="_Toc14252"/>
      <w:bookmarkStart w:id="91" w:name="_Toc24122"/>
      <w:bookmarkStart w:id="92" w:name="_Toc31638"/>
      <w:bookmarkStart w:id="93" w:name="_Toc15916"/>
      <w:bookmarkStart w:id="94" w:name="_Toc26756"/>
      <w:bookmarkStart w:id="95" w:name="_Toc12088"/>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083"/>
      <w:bookmarkStart w:id="98" w:name="_Toc10583"/>
      <w:bookmarkStart w:id="99" w:name="_Toc27985"/>
      <w:bookmarkStart w:id="100" w:name="_Toc15894"/>
      <w:bookmarkStart w:id="101" w:name="_Toc11278"/>
      <w:bookmarkStart w:id="102" w:name="_Toc29215"/>
      <w:bookmarkStart w:id="103" w:name="_Toc22760"/>
      <w:bookmarkStart w:id="104" w:name="_Toc18046"/>
      <w:bookmarkStart w:id="105" w:name="_Toc26609"/>
      <w:bookmarkStart w:id="106" w:name="_Toc9398"/>
      <w:bookmarkStart w:id="107" w:name="_Toc19589"/>
      <w:bookmarkStart w:id="108" w:name="_Toc23212"/>
      <w:bookmarkStart w:id="109" w:name="_Toc2794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4116"/>
      <w:bookmarkStart w:id="111" w:name="_Toc24655"/>
      <w:bookmarkStart w:id="112" w:name="_Toc14546"/>
      <w:bookmarkStart w:id="113" w:name="_Toc8348"/>
      <w:bookmarkStart w:id="114" w:name="_Toc757"/>
      <w:bookmarkStart w:id="115" w:name="_Toc8940"/>
      <w:bookmarkStart w:id="116" w:name="_Toc24671"/>
      <w:bookmarkStart w:id="117" w:name="_Toc29648"/>
      <w:bookmarkStart w:id="118" w:name="_Toc17741"/>
      <w:bookmarkStart w:id="119" w:name="_Toc8083"/>
      <w:bookmarkStart w:id="120" w:name="_Toc27767"/>
      <w:bookmarkStart w:id="121" w:name="_Toc24107"/>
      <w:bookmarkStart w:id="122" w:name="_Toc17204"/>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5840"/>
      <w:bookmarkStart w:id="125" w:name="_Toc24280"/>
      <w:bookmarkStart w:id="126" w:name="_Toc8524"/>
      <w:bookmarkStart w:id="127" w:name="_Toc15917"/>
      <w:bookmarkStart w:id="128" w:name="_Toc2003"/>
      <w:bookmarkStart w:id="129" w:name="_Toc22243"/>
      <w:bookmarkStart w:id="130" w:name="_Toc10945"/>
      <w:bookmarkStart w:id="131" w:name="_Toc12682"/>
      <w:bookmarkStart w:id="132" w:name="_Toc14781"/>
      <w:bookmarkStart w:id="133" w:name="_Toc10308"/>
      <w:bookmarkStart w:id="134" w:name="_Toc207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E911C5D"/>
    <w:rsid w:val="14456F80"/>
    <w:rsid w:val="195D2073"/>
    <w:rsid w:val="1A37043E"/>
    <w:rsid w:val="364F4E7F"/>
    <w:rsid w:val="365344A5"/>
    <w:rsid w:val="396510AC"/>
    <w:rsid w:val="405F3E1B"/>
    <w:rsid w:val="4AE36A9A"/>
    <w:rsid w:val="51CB3FD0"/>
    <w:rsid w:val="5536063D"/>
    <w:rsid w:val="55F211D3"/>
    <w:rsid w:val="61DB5EE7"/>
    <w:rsid w:val="62FA0171"/>
    <w:rsid w:val="63E72E68"/>
    <w:rsid w:val="65C660EF"/>
    <w:rsid w:val="65DA011F"/>
    <w:rsid w:val="672843F4"/>
    <w:rsid w:val="701306BF"/>
    <w:rsid w:val="710D63F2"/>
    <w:rsid w:val="71D57369"/>
    <w:rsid w:val="75233D75"/>
    <w:rsid w:val="77490A08"/>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2023-10-30T03:16:48Z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