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采购项目编号：SCFY-YXZB202310-09（磋）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19.6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2"/>
        <w:tblW w:w="4908" w:type="pct"/>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91"/>
        <w:gridCol w:w="1248"/>
        <w:gridCol w:w="1402"/>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88"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302"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38"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716"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954"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388" w:type="pct"/>
            <w:vMerge w:val="continue"/>
            <w:noWrap w:val="0"/>
            <w:vAlign w:val="center"/>
          </w:tcPr>
          <w:p>
            <w:pPr>
              <w:spacing w:line="420" w:lineRule="exact"/>
              <w:jc w:val="center"/>
              <w:rPr>
                <w:rFonts w:hint="eastAsia" w:cs="宋体"/>
                <w:color w:val="000000"/>
                <w:kern w:val="0"/>
              </w:rPr>
            </w:pPr>
          </w:p>
        </w:tc>
        <w:tc>
          <w:tcPr>
            <w:tcW w:w="302"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38"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尿失禁吊带</w:t>
            </w:r>
          </w:p>
        </w:tc>
        <w:tc>
          <w:tcPr>
            <w:tcW w:w="716"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20根</w:t>
            </w:r>
          </w:p>
        </w:tc>
        <w:tc>
          <w:tcPr>
            <w:tcW w:w="2954" w:type="pct"/>
            <w:noWrap w:val="0"/>
            <w:vAlign w:val="top"/>
          </w:tcPr>
          <w:p>
            <w:pPr>
              <w:widowControl/>
              <w:jc w:val="both"/>
              <w:textAlignment w:val="center"/>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用途：</w:t>
            </w:r>
            <w:r>
              <w:rPr>
                <w:rFonts w:hint="eastAsia" w:ascii="宋体" w:hAnsi="宋体" w:cs="宋体"/>
                <w:kern w:val="2"/>
                <w:sz w:val="21"/>
                <w:szCs w:val="21"/>
                <w:lang w:val="en-US" w:eastAsia="zh-CN" w:bidi="ar-SA"/>
              </w:rPr>
              <w:t>用于张力性尿失禁手术。</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材质：</w:t>
            </w:r>
            <w:r>
              <w:rPr>
                <w:rFonts w:hint="default"/>
                <w:lang w:val="en-US" w:eastAsia="zh-CN"/>
              </w:rPr>
              <w:t>为聚丙烯材料</w:t>
            </w:r>
            <w:r>
              <w:rPr>
                <w:rFonts w:hint="eastAsia"/>
                <w:lang w:val="en-US" w:eastAsia="zh-CN"/>
              </w:rPr>
              <w:t>，</w:t>
            </w:r>
            <w:r>
              <w:rPr>
                <w:rFonts w:hint="default"/>
                <w:lang w:val="en-US" w:eastAsia="zh-CN"/>
              </w:rPr>
              <w:t>钛化处理，不易感染</w:t>
            </w:r>
            <w:r>
              <w:rPr>
                <w:rFonts w:hint="eastAsia" w:ascii="宋体" w:hAnsi="宋体" w:cs="宋体"/>
                <w:kern w:val="2"/>
                <w:sz w:val="21"/>
                <w:szCs w:val="21"/>
                <w:lang w:val="en-US" w:eastAsia="zh-CN" w:bidi="ar-SA"/>
              </w:rPr>
              <w:t>。</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2.网孔&gt;1mm，密度是30-35g/㎡，长度45-50cm，宽度1.1-1.5cm</w:t>
            </w:r>
            <w:r>
              <w:rPr>
                <w:rFonts w:hint="eastAsia" w:ascii="宋体" w:hAnsi="宋体" w:cs="宋体"/>
                <w:kern w:val="2"/>
                <w:sz w:val="21"/>
                <w:szCs w:val="21"/>
                <w:lang w:val="en-US" w:eastAsia="zh-CN" w:bidi="ar-SA"/>
              </w:rPr>
              <w:t>。</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3.具有亲水性和生物相容性，边缘采用激光切割、无毛刺。</w:t>
            </w:r>
          </w:p>
          <w:p>
            <w:pPr>
              <w:widowControl/>
              <w:jc w:val="both"/>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.可做耻骨后或经闭孔路径的尿道中断悬吊术</w:t>
            </w:r>
            <w:r>
              <w:rPr>
                <w:rFonts w:hint="eastAsia" w:ascii="宋体" w:hAnsi="宋体" w:cs="宋体"/>
                <w:kern w:val="2"/>
                <w:sz w:val="21"/>
                <w:szCs w:val="21"/>
                <w:lang w:val="en-US" w:eastAsia="zh-CN" w:bidi="ar-SA"/>
              </w:rPr>
              <w:t>。</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5.经环氧乙烷灭菌，一次性使用。</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4"/>
        <w:shd w:val="clear"/>
        <w:ind w:left="283" w:leftChars="135" w:firstLine="0" w:firstLineChars="0"/>
        <w:rPr>
          <w:rFonts w:hint="eastAsia"/>
        </w:rPr>
      </w:pPr>
      <w:r>
        <w:rPr>
          <w:rFonts w:hint="eastAsia"/>
        </w:rPr>
        <w:t>▲1.供应商投标产品若为Ⅱ、Ⅲ类医疗器械，则必须为四川省药械集中采购及医药价格监管平台挂网公示产品,并提供挂网商品代码（已经挂网的需要提供集采平台挂网截图）。</w:t>
      </w:r>
    </w:p>
    <w:p>
      <w:pPr>
        <w:pStyle w:val="4"/>
        <w:shd w:val="clear"/>
        <w:ind w:left="283" w:leftChars="135" w:firstLine="0" w:firstLineChars="0"/>
        <w:rPr>
          <w:rFonts w:hint="eastAsia"/>
        </w:rPr>
      </w:pPr>
      <w:r>
        <w:rPr>
          <w:rFonts w:hint="eastAsia"/>
        </w:rPr>
        <w:t>▲2.供货期限：3年，采购数量以实际使用量为准。</w:t>
      </w:r>
    </w:p>
    <w:p>
      <w:pPr>
        <w:pStyle w:val="4"/>
        <w:shd w:val="clear"/>
        <w:ind w:left="283" w:leftChars="135" w:firstLine="0" w:firstLineChars="0"/>
        <w:rPr>
          <w:rFonts w:hint="eastAsia"/>
        </w:rPr>
      </w:pPr>
      <w:r>
        <w:rPr>
          <w:rFonts w:hint="eastAsia"/>
        </w:rPr>
        <w:t>▲3.合同结算：本项目的“预估年度用量”、 供应商的“投标总价”仅做为报价评审依据，最终根据实际需求进行相应调整，结算以实际发生量乘以供应商投标单价结算，且不超过每年的预算总价。</w:t>
      </w: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914"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08"/>
        <w:gridCol w:w="516"/>
        <w:gridCol w:w="4919"/>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4"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6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51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46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1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63"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512"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464"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4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1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263"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512"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464"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51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263"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12</w:t>
            </w:r>
          </w:p>
        </w:tc>
        <w:tc>
          <w:tcPr>
            <w:tcW w:w="2512"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产品样品1个</w:t>
            </w:r>
            <w:bookmarkStart w:id="135" w:name="_GoBack"/>
            <w:bookmarkEnd w:id="135"/>
            <w:r>
              <w:rPr>
                <w:rFonts w:hint="eastAsia" w:ascii="宋体" w:hAnsi="宋体" w:cs="宋体"/>
                <w:kern w:val="0"/>
                <w:sz w:val="18"/>
                <w:szCs w:val="18"/>
              </w:rPr>
              <w:t>，根据样品的外观、材质、性能、是否符合临床需求等综合评定，优</w:t>
            </w:r>
            <w:r>
              <w:rPr>
                <w:rFonts w:hint="eastAsia" w:ascii="宋体" w:hAnsi="宋体" w:cs="宋体"/>
                <w:kern w:val="0"/>
                <w:sz w:val="18"/>
                <w:szCs w:val="18"/>
                <w:lang w:val="en-US" w:eastAsia="zh-CN"/>
              </w:rPr>
              <w:t>11</w:t>
            </w:r>
            <w:r>
              <w:rPr>
                <w:rFonts w:hint="eastAsia" w:ascii="宋体" w:hAnsi="宋体" w:cs="宋体"/>
                <w:kern w:val="0"/>
                <w:sz w:val="18"/>
                <w:szCs w:val="18"/>
              </w:rPr>
              <w:t>-1</w:t>
            </w:r>
            <w:r>
              <w:rPr>
                <w:rFonts w:hint="eastAsia" w:ascii="宋体" w:hAnsi="宋体" w:cs="宋体"/>
                <w:kern w:val="0"/>
                <w:sz w:val="18"/>
                <w:szCs w:val="18"/>
                <w:lang w:val="en-US" w:eastAsia="zh-CN"/>
              </w:rPr>
              <w:t>2</w:t>
            </w:r>
            <w:r>
              <w:rPr>
                <w:rFonts w:hint="eastAsia" w:ascii="宋体" w:hAnsi="宋体" w:cs="宋体"/>
                <w:kern w:val="0"/>
                <w:sz w:val="18"/>
                <w:szCs w:val="18"/>
              </w:rPr>
              <w:t>分；良得6-</w:t>
            </w:r>
            <w:r>
              <w:rPr>
                <w:rFonts w:hint="eastAsia" w:ascii="宋体" w:hAnsi="宋体" w:cs="宋体"/>
                <w:kern w:val="0"/>
                <w:sz w:val="18"/>
                <w:szCs w:val="18"/>
                <w:lang w:val="en-US" w:eastAsia="zh-CN"/>
              </w:rPr>
              <w:t>10</w:t>
            </w:r>
            <w:r>
              <w:rPr>
                <w:rFonts w:hint="eastAsia" w:ascii="宋体" w:hAnsi="宋体" w:cs="宋体"/>
                <w:kern w:val="0"/>
                <w:sz w:val="18"/>
                <w:szCs w:val="18"/>
              </w:rPr>
              <w:t>分；差得1-5分；未提供或提供不全本项不得分。</w:t>
            </w:r>
          </w:p>
        </w:tc>
        <w:tc>
          <w:tcPr>
            <w:tcW w:w="1464"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51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263"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2512"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464" w:type="pct"/>
            <w:noWrap w:val="0"/>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r>
              <w:rPr>
                <w:rFonts w:hint="eastAsia" w:ascii="宋体" w:hAnsi="宋体" w:cs="Segoe UI"/>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4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51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263" w:type="pc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2512"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1464"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3414"/>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4802"/>
      <w:bookmarkStart w:id="8" w:name="_Toc5499"/>
      <w:bookmarkStart w:id="9" w:name="_Toc11076"/>
      <w:bookmarkStart w:id="10" w:name="_Toc12490"/>
      <w:bookmarkStart w:id="11" w:name="_Toc5208"/>
      <w:bookmarkStart w:id="12" w:name="_Toc10689"/>
      <w:bookmarkStart w:id="13" w:name="_Toc30275"/>
      <w:bookmarkStart w:id="14" w:name="_Toc30494"/>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13021"/>
      <w:bookmarkStart w:id="18" w:name="_Toc3081"/>
      <w:bookmarkStart w:id="19" w:name="_Toc26481"/>
      <w:bookmarkStart w:id="20" w:name="_Toc7067"/>
      <w:bookmarkStart w:id="21" w:name="_Toc10183"/>
      <w:bookmarkStart w:id="22" w:name="_Toc9131"/>
      <w:bookmarkStart w:id="23" w:name="_Toc32214"/>
      <w:bookmarkStart w:id="24" w:name="_Toc28103"/>
      <w:bookmarkStart w:id="25" w:name="_Toc10948"/>
      <w:bookmarkStart w:id="26" w:name="_Toc3912"/>
      <w:bookmarkStart w:id="27" w:name="_Toc19115"/>
      <w:bookmarkStart w:id="28" w:name="_Toc30080"/>
      <w:bookmarkStart w:id="29" w:name="_Toc8717"/>
      <w:bookmarkStart w:id="30" w:name="_Toc18879"/>
      <w:bookmarkStart w:id="31" w:name="_Toc3392"/>
      <w:bookmarkStart w:id="32" w:name="_Toc344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22795"/>
      <w:bookmarkStart w:id="36" w:name="_Toc9042"/>
      <w:bookmarkStart w:id="37" w:name="_Toc30920"/>
      <w:bookmarkStart w:id="38" w:name="_Toc7249"/>
      <w:bookmarkStart w:id="39" w:name="_Toc15196"/>
      <w:bookmarkStart w:id="40" w:name="_Toc23645"/>
      <w:bookmarkStart w:id="41" w:name="_Toc18259"/>
      <w:bookmarkStart w:id="42" w:name="_Toc10142"/>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83"/>
      <w:bookmarkStart w:id="46" w:name="_Toc21988"/>
      <w:bookmarkStart w:id="47" w:name="_Toc26548"/>
      <w:bookmarkStart w:id="48" w:name="_Toc4775"/>
      <w:bookmarkStart w:id="49" w:name="_Toc19600"/>
      <w:bookmarkStart w:id="50" w:name="_Toc3534"/>
      <w:bookmarkStart w:id="51" w:name="_Toc24117"/>
      <w:bookmarkStart w:id="52" w:name="_Toc25516"/>
      <w:bookmarkStart w:id="53" w:name="_Toc300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23192"/>
      <w:bookmarkStart w:id="56" w:name="_Toc691"/>
      <w:bookmarkStart w:id="57" w:name="_Toc12333"/>
      <w:bookmarkStart w:id="58" w:name="_Toc3494"/>
      <w:bookmarkStart w:id="59" w:name="_Toc27376"/>
      <w:bookmarkStart w:id="60" w:name="_Toc22198"/>
      <w:bookmarkStart w:id="61" w:name="_Toc14887"/>
      <w:bookmarkStart w:id="62" w:name="_Toc32166"/>
      <w:bookmarkStart w:id="63" w:name="_Toc16764"/>
      <w:bookmarkStart w:id="64" w:name="_Toc166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371"/>
      <w:bookmarkStart w:id="66" w:name="_Toc3943"/>
      <w:bookmarkStart w:id="67" w:name="_Toc22606"/>
      <w:bookmarkStart w:id="68" w:name="_Toc11914"/>
      <w:bookmarkStart w:id="69" w:name="_Toc5412"/>
      <w:bookmarkStart w:id="70" w:name="_Toc14269"/>
      <w:bookmarkStart w:id="71" w:name="_Toc4577"/>
      <w:bookmarkStart w:id="72" w:name="_Toc31581"/>
      <w:bookmarkStart w:id="73" w:name="_Toc10013"/>
      <w:bookmarkStart w:id="74" w:name="_Toc9263"/>
      <w:bookmarkStart w:id="75" w:name="_Toc25068"/>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316"/>
      <w:bookmarkStart w:id="78" w:name="_Toc29190"/>
      <w:bookmarkStart w:id="79" w:name="_Toc31890"/>
      <w:bookmarkStart w:id="80" w:name="_Toc13677"/>
      <w:bookmarkStart w:id="81" w:name="_Toc3908"/>
      <w:bookmarkStart w:id="82" w:name="_Toc10600"/>
      <w:bookmarkStart w:id="83" w:name="_Toc11489"/>
      <w:bookmarkStart w:id="84" w:name="_Toc17108"/>
      <w:bookmarkStart w:id="85" w:name="_Toc2937"/>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1638"/>
      <w:bookmarkStart w:id="88" w:name="_Toc15916"/>
      <w:bookmarkStart w:id="89" w:name="_Toc1313"/>
      <w:bookmarkStart w:id="90" w:name="_Toc24122"/>
      <w:bookmarkStart w:id="91" w:name="_Toc26756"/>
      <w:bookmarkStart w:id="92" w:name="_Toc12088"/>
      <w:bookmarkStart w:id="93" w:name="_Toc21351"/>
      <w:bookmarkStart w:id="94" w:name="_Toc32365"/>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6609"/>
      <w:bookmarkStart w:id="98" w:name="_Toc19589"/>
      <w:bookmarkStart w:id="99" w:name="_Toc23212"/>
      <w:bookmarkStart w:id="100" w:name="_Toc27985"/>
      <w:bookmarkStart w:id="101" w:name="_Toc9398"/>
      <w:bookmarkStart w:id="102" w:name="_Toc11278"/>
      <w:bookmarkStart w:id="103" w:name="_Toc10583"/>
      <w:bookmarkStart w:id="104" w:name="_Toc22760"/>
      <w:bookmarkStart w:id="105" w:name="_Toc15083"/>
      <w:bookmarkStart w:id="106" w:name="_Toc15894"/>
      <w:bookmarkStart w:id="107" w:name="_Toc18046"/>
      <w:bookmarkStart w:id="108" w:name="_Toc27948"/>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083"/>
      <w:bookmarkStart w:id="111" w:name="_Toc8348"/>
      <w:bookmarkStart w:id="112" w:name="_Toc29648"/>
      <w:bookmarkStart w:id="113" w:name="_Toc14546"/>
      <w:bookmarkStart w:id="114" w:name="_Toc24671"/>
      <w:bookmarkStart w:id="115" w:name="_Toc8940"/>
      <w:bookmarkStart w:id="116" w:name="_Toc757"/>
      <w:bookmarkStart w:id="117" w:name="_Toc17741"/>
      <w:bookmarkStart w:id="118" w:name="_Toc27767"/>
      <w:bookmarkStart w:id="119" w:name="_Toc24107"/>
      <w:bookmarkStart w:id="120" w:name="_Toc17204"/>
      <w:bookmarkStart w:id="121" w:name="_Toc24655"/>
      <w:bookmarkStart w:id="122" w:name="_Toc411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2682"/>
      <w:bookmarkStart w:id="124" w:name="_Toc10945"/>
      <w:bookmarkStart w:id="125" w:name="_Toc10950"/>
      <w:bookmarkStart w:id="126" w:name="_Toc14781"/>
      <w:bookmarkStart w:id="127" w:name="_Toc8524"/>
      <w:bookmarkStart w:id="128" w:name="_Toc2003"/>
      <w:bookmarkStart w:id="129" w:name="_Toc22243"/>
      <w:bookmarkStart w:id="130" w:name="_Toc10308"/>
      <w:bookmarkStart w:id="131" w:name="_Toc5840"/>
      <w:bookmarkStart w:id="132" w:name="_Toc20745"/>
      <w:bookmarkStart w:id="133" w:name="_Toc24280"/>
      <w:bookmarkStart w:id="134" w:name="_Toc15917"/>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1A37043E"/>
    <w:rsid w:val="364F4E7F"/>
    <w:rsid w:val="365344A5"/>
    <w:rsid w:val="396510AC"/>
    <w:rsid w:val="405F3E1B"/>
    <w:rsid w:val="4AE36A9A"/>
    <w:rsid w:val="501210B6"/>
    <w:rsid w:val="51CB3FD0"/>
    <w:rsid w:val="5536063D"/>
    <w:rsid w:val="55F211D3"/>
    <w:rsid w:val="62FA0171"/>
    <w:rsid w:val="65C660EF"/>
    <w:rsid w:val="65DA011F"/>
    <w:rsid w:val="701306BF"/>
    <w:rsid w:val="710D63F2"/>
    <w:rsid w:val="75233D75"/>
    <w:rsid w:val="77490A08"/>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2023-10-30T09:40:28Z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