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</w:t>
      </w:r>
    </w:p>
    <w:p>
      <w:pPr>
        <w:pStyle w:val="9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综合评分明细表</w:t>
      </w:r>
    </w:p>
    <w:tbl>
      <w:tblPr>
        <w:tblStyle w:val="4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786"/>
        <w:gridCol w:w="492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评分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因素</w:t>
            </w: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9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报价2</w:t>
            </w:r>
            <w:r>
              <w:rPr>
                <w:rFonts w:ascii="宋体" w:hAnsi="宋体" w:eastAsia="宋体" w:cs="仿宋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ascii="宋体" w:hAnsi="宋体" w:eastAsia="宋体" w:cs="仿宋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以本次有效的最低投标报价为基准价，其价格分为满分。其他投标人的价格分统一按照下列公式计算：投标报价得分=(评标基准价/投标报价）×100×20%。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共同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服务要求响应</w:t>
            </w:r>
          </w:p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10%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10分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服务标准及要求完全满足招标文件要求得10分，每有一项不满足或缺项的扣2分，扣完为止。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技术类</w:t>
            </w:r>
          </w:p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方案</w:t>
            </w:r>
            <w:r>
              <w:rPr>
                <w:rFonts w:ascii="宋体" w:hAnsi="宋体" w:eastAsia="宋体" w:cs="仿宋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宣传推广方案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围绕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  <w:t>消除母婴传播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中心工作，紧扣重要节点，突出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  <w:t>四川省消除母婴传播工作宣传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主题拟定服务方案，包括但不限于：①选题重点突出，主题鲜明；②宣传角度新颖，作品表现力强；③宣传手段丰富，针对性强；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配套宣传活动方案①紧扣主题，特色亮点突出；②互动参与度强，传播影响广泛。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根据方案与项目吻合程度等进行综合评审。能满足项目宣传需要，与项目吻合程度高每项最多得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分，合计最多得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分。每有一处缺陷扣2分。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技术类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质量保证方案</w:t>
            </w:r>
            <w:r>
              <w:rPr>
                <w:rFonts w:ascii="宋体" w:hAnsi="宋体" w:eastAsia="宋体" w:cs="仿宋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根据供应商提供的质量保证方案进行评审，包括但不限于：①推送数量、宣传效果等质量控制目标；②工作进度安排、应急管理等质量控制措施。方案内容完整、细致准确、条理清晰，符合采购需求每项最多得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5分，合计最多得10分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。每有一处缺陷扣</w:t>
            </w:r>
            <w:r>
              <w:rPr>
                <w:rFonts w:ascii="宋体" w:hAnsi="宋体" w:eastAsia="宋体" w:cs="仿宋"/>
                <w:kern w:val="0"/>
                <w:szCs w:val="21"/>
              </w:rPr>
              <w:t>2分。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技术类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安全保证方案</w:t>
            </w:r>
            <w:r>
              <w:rPr>
                <w:rFonts w:ascii="宋体" w:hAnsi="宋体" w:eastAsia="宋体" w:cs="仿宋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根据供应商提供的安全保证方案进行评审，包括但不限于：①宣传内容的政治安全性保证措施；②信息数据保密、隐私保护等措施。方案内容完整、细致准确、条理清晰，符合采购需求每项最多得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5分，合计最多得10分。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每有一处缺陷扣</w:t>
            </w:r>
            <w:r>
              <w:rPr>
                <w:rFonts w:ascii="宋体" w:hAnsi="宋体" w:eastAsia="宋体" w:cs="仿宋"/>
                <w:kern w:val="0"/>
                <w:szCs w:val="21"/>
              </w:rPr>
              <w:t>2分。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技术类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团队</w:t>
            </w:r>
            <w:r>
              <w:rPr>
                <w:rFonts w:ascii="宋体" w:hAnsi="宋体" w:eastAsia="宋体" w:cs="仿宋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项目服务团队人员配置数量不低于</w:t>
            </w:r>
            <w:r>
              <w:rPr>
                <w:rFonts w:ascii="宋体" w:hAnsi="宋体" w:eastAsia="宋体" w:cs="仿宋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人者得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2分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ascii="宋体" w:hAnsi="宋体" w:eastAsia="宋体" w:cs="仿宋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人员岗位配置合理，</w:t>
            </w:r>
            <w:r>
              <w:rPr>
                <w:rFonts w:ascii="宋体" w:hAnsi="宋体" w:eastAsia="宋体" w:cs="仿宋"/>
                <w:kern w:val="0"/>
                <w:szCs w:val="21"/>
              </w:rPr>
              <w:t>分工职责明确、精细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者得2分</w:t>
            </w:r>
            <w:r>
              <w:rPr>
                <w:rFonts w:ascii="宋体" w:hAnsi="宋体" w:eastAsia="宋体" w:cs="仿宋"/>
                <w:kern w:val="0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团队成员工作经验丰富</w:t>
            </w:r>
            <w:r>
              <w:rPr>
                <w:rFonts w:ascii="宋体" w:hAnsi="宋体" w:eastAsia="宋体" w:cs="仿宋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在传统媒体或互联网媒体宣传服务从业年限达</w:t>
            </w:r>
            <w:r>
              <w:rPr>
                <w:rFonts w:ascii="宋体" w:hAnsi="宋体" w:eastAsia="宋体" w:cs="仿宋"/>
                <w:kern w:val="0"/>
                <w:szCs w:val="21"/>
              </w:rPr>
              <w:t>3年以上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者得2分。</w:t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ascii="宋体" w:hAnsi="宋体" w:eastAsia="宋体" w:cs="仿宋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.服务团队成员具有新闻类等相关专业技术资格或职称证书，每有一人具有初级专业技术资格或职称证书得1分，每有一人具有中级专业技术资格或职称证书得2分，每有一人具有高级专业技术资格或职称证书得3分。本项最高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分。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注：提供人员情况表，提供人员履历表，需包含人员从业年限、责任分工等内容，提供人员专业技术资格或职称证书复印件。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共同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履约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能力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%</w:t>
            </w: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</w:t>
            </w:r>
            <w:r>
              <w:rPr>
                <w:rFonts w:ascii="宋体" w:hAnsi="宋体" w:eastAsia="宋体" w:cs="仿宋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</w:t>
            </w:r>
          </w:p>
        </w:tc>
        <w:tc>
          <w:tcPr>
            <w:tcW w:w="492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投标人自202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kern w:val="0"/>
                <w:szCs w:val="21"/>
              </w:rPr>
              <w:t>年以来，每具有一个类似项目业绩得</w:t>
            </w:r>
            <w:r>
              <w:rPr>
                <w:rFonts w:ascii="宋体" w:hAnsi="宋体" w:eastAsia="宋体" w:cs="仿宋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分，最多得1</w:t>
            </w:r>
            <w:r>
              <w:rPr>
                <w:rFonts w:ascii="宋体" w:hAnsi="宋体" w:eastAsia="宋体" w:cs="仿宋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分。</w:t>
            </w:r>
          </w:p>
          <w:p>
            <w:pPr>
              <w:spacing w:line="400" w:lineRule="exact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注：提供中标（成交）通知书或合同复印件。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共同</w:t>
            </w:r>
          </w:p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总分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100分</w:t>
            </w:r>
          </w:p>
        </w:tc>
      </w:tr>
    </w:tbl>
    <w:p>
      <w:pPr>
        <w:pStyle w:val="9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仿宋_GB2312"/>
          <w:szCs w:val="21"/>
        </w:rPr>
        <w:t>注：评分标准中要求提供证明材料的，均须加盖投标人公章。</w:t>
      </w:r>
    </w:p>
    <w:p>
      <w:pPr>
        <w:rPr>
          <w:rFonts w:ascii="宋体" w:hAnsi="宋体" w:eastAsia="宋体"/>
          <w:szCs w:val="21"/>
        </w:rPr>
      </w:pPr>
    </w:p>
    <w:p>
      <w:pPr>
        <w:tabs>
          <w:tab w:val="left" w:pos="795"/>
        </w:tabs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ZTk3ZjczOGFhNGM3ZmMyZDZjYjBlNTE1OTkxNTMifQ=="/>
  </w:docVars>
  <w:rsids>
    <w:rsidRoot w:val="00794A96"/>
    <w:rsid w:val="0004353F"/>
    <w:rsid w:val="00046E89"/>
    <w:rsid w:val="002077A5"/>
    <w:rsid w:val="00337EC3"/>
    <w:rsid w:val="003B35D2"/>
    <w:rsid w:val="003F0BFE"/>
    <w:rsid w:val="004970D4"/>
    <w:rsid w:val="004D1F01"/>
    <w:rsid w:val="005B27D6"/>
    <w:rsid w:val="0072420A"/>
    <w:rsid w:val="00794A96"/>
    <w:rsid w:val="009A011A"/>
    <w:rsid w:val="00A717BA"/>
    <w:rsid w:val="00B23864"/>
    <w:rsid w:val="00B310EE"/>
    <w:rsid w:val="00BE3EAB"/>
    <w:rsid w:val="00C87B0F"/>
    <w:rsid w:val="00DC7CF2"/>
    <w:rsid w:val="00E47C26"/>
    <w:rsid w:val="00ED16DE"/>
    <w:rsid w:val="00F41A2A"/>
    <w:rsid w:val="120F388D"/>
    <w:rsid w:val="17445C06"/>
    <w:rsid w:val="26460725"/>
    <w:rsid w:val="281F5846"/>
    <w:rsid w:val="584912B8"/>
    <w:rsid w:val="5D2F0CB9"/>
    <w:rsid w:val="7D9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974</Words>
  <Characters>1012</Characters>
  <Lines>7</Lines>
  <Paragraphs>2</Paragraphs>
  <TotalTime>5</TotalTime>
  <ScaleCrop>false</ScaleCrop>
  <LinksUpToDate>false</LinksUpToDate>
  <CharactersWithSpaces>1014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2022-08-21T11:09:00Z</dcterms:created>
  <dc:creator>916096710@qq.com</dc:creator>
  <cp:lastModifiedBy>青枨</cp:lastModifiedBy>
  <dcterms:modified xsi:type="dcterms:W3CDTF">2023-11-03T06:16:27Z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DD505C7BCB2345B08CFF39467C09289F</vt:lpwstr>
  </property>
</Properties>
</file>