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bidi w:val="0"/>
        <w:spacing w:line="360" w:lineRule="auto"/>
        <w:rPr>
          <w:rFonts w:hint="eastAsia" w:ascii="宋体" w:hAnsi="宋体" w:eastAsia="宋体" w:cs="宋体"/>
          <w:b/>
          <w:color w:val="000000"/>
          <w:sz w:val="24"/>
          <w:szCs w:val="24"/>
          <w:lang w:val="en-US" w:eastAsia="zh-CN"/>
        </w:rPr>
      </w:pPr>
      <w:bookmarkStart w:id="0" w:name="_GoBack"/>
      <w:bookmarkEnd w:id="0"/>
      <w:r>
        <w:rPr>
          <w:rFonts w:hint="eastAsia" w:ascii="宋体" w:hAnsi="宋体" w:eastAsia="宋体" w:cs="宋体"/>
          <w:b/>
          <w:color w:val="000000"/>
          <w:sz w:val="24"/>
          <w:szCs w:val="24"/>
          <w:lang w:val="en-US" w:eastAsia="zh-CN"/>
        </w:rPr>
        <w:t>附件1 采购需求</w:t>
      </w:r>
    </w:p>
    <w:p>
      <w:pPr>
        <w:pStyle w:val="10"/>
        <w:keepNext w:val="0"/>
        <w:keepLines w:val="0"/>
        <w:pageBreakBefore w:val="0"/>
        <w:widowControl/>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i w:val="0"/>
          <w:iCs w:val="0"/>
          <w:color w:val="000000"/>
          <w:kern w:val="0"/>
          <w:sz w:val="24"/>
          <w:szCs w:val="24"/>
          <w:u w:val="none"/>
          <w:lang w:val="en-US" w:eastAsia="zh-CN" w:bidi="ar"/>
        </w:rPr>
        <w:t>危险废物数字化标签、视频监控等物联网设备采购项目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项目位置：成都市</w:t>
      </w:r>
      <w:r>
        <w:rPr>
          <w:rFonts w:hint="eastAsia" w:ascii="宋体" w:hAnsi="宋体" w:eastAsia="宋体" w:cs="宋体"/>
          <w:color w:val="000000"/>
          <w:sz w:val="24"/>
          <w:szCs w:val="24"/>
          <w:lang w:val="en-US" w:eastAsia="zh-CN"/>
        </w:rPr>
        <w:t>武侯</w:t>
      </w:r>
      <w:r>
        <w:rPr>
          <w:rFonts w:hint="eastAsia" w:ascii="宋体" w:hAnsi="宋体" w:eastAsia="宋体" w:cs="宋体"/>
          <w:color w:val="000000"/>
          <w:sz w:val="24"/>
          <w:szCs w:val="24"/>
        </w:rPr>
        <w:t>区</w:t>
      </w:r>
      <w:r>
        <w:rPr>
          <w:rFonts w:hint="eastAsia" w:ascii="宋体" w:hAnsi="宋体" w:eastAsia="宋体" w:cs="宋体"/>
          <w:color w:val="000000"/>
          <w:sz w:val="24"/>
          <w:szCs w:val="24"/>
          <w:lang w:val="en-US" w:eastAsia="zh-CN"/>
        </w:rPr>
        <w:t>沙堰西二街290号</w:t>
      </w:r>
    </w:p>
    <w:p>
      <w:pPr>
        <w:pStyle w:val="10"/>
        <w:keepNext w:val="0"/>
        <w:keepLines w:val="0"/>
        <w:pageBreakBefore w:val="0"/>
        <w:widowControl/>
        <w:kinsoku/>
        <w:wordWrap/>
        <w:overflowPunct/>
        <w:topLinePunct w:val="0"/>
        <w:bidi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基本</w:t>
      </w:r>
      <w:r>
        <w:rPr>
          <w:rFonts w:hint="eastAsia" w:ascii="宋体" w:hAnsi="宋体" w:eastAsia="宋体" w:cs="宋体"/>
          <w:b/>
          <w:color w:val="000000"/>
          <w:sz w:val="24"/>
          <w:szCs w:val="24"/>
        </w:rPr>
        <w:t>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1.危废物联网系统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1.1完成与四川省固体废物环境管理信息系统（无废四川）联网对接，费用包含在投标总价内。</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1.2系统支持自动称重与手动录入重量，支持对产废日期、危废种类、包装形式、包装数量进行选择。</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1.3系统根据过磅重量自动生成二维码电子标签，标签格式应符合《危险废物识别标志设置技术规范》(HJ 1276-2022)要求。危险废物标签应包含废物名称、废物类别、废物代码、废物形态、危险特性、主要成分、有害成分、注意事项、产生/收集单位名称、联系人、联系方式、产生日期、废物重量和备注等内容。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1.4标签打印机：支持USB或蓝牙连接，支持防水不干胶标签纸，标签纸尺寸支持100×100mm、150×150mm、200cm×200cm。</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1.5电子地磅：安装在危险废物贮存间外部靠墙区域，支持蓝牙功能，台面尺寸≤0.5×0.6m，承重≥100kg。</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 PDA终端：支持扫码入库、出库、查询功能。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2.视频监控设备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2.1完成与四川省固定源监控体系联网对接，费用包含在投标总价内。</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2.2视频监控数据记录保存时间至少为3个月。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2.3监控点位及摄像机要求：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2.3.1危废贮存间内部及出、入库区域各安装1台半球网络高清摄像机，确保危险废物贮存区域内部及出入口监控全覆盖、无死角、无遮挡。出、入库区域的监控视频能清晰记录危险废物称重过程及出、入库行为;贮存间内部监控视频能清晰记录库存危险废物外观特征、贮存设施内部全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2.3.2半球网络高清摄像机至少具备IP67防尘防水和IK10防爆等级要求。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2.3.3车辆出、入口区域各安装1台枪型网络高清摄像机，确保车辆出入口大门监控全覆盖、无死角、无遮挡。能清晰记录危险废物运输车辆进出行为，具备车辆抓拍功能、夜视功能。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2.3.4枪型网络高清摄像机至少具备IP67防尘防水等级要求。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2.3.5半球网络高清摄像机和枪型网络高清摄像机要求具备背光补偿、强光抑制、3D数字降噪功能。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8"/>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3.配置清单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3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产品名称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单位</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危废物联网系统</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套</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电子地磅</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3</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标签打印机</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4</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PDA终端</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5</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半球网络摄像机（含支架）</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6</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枪型网络摄像机（含支架）</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7</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硬盘录像机</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8</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8T硬盘</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个</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9</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8口千兆POE交换机</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10</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显示器</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11</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室外防雨箱</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个</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12</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机柜</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13</w:t>
            </w:r>
          </w:p>
        </w:tc>
        <w:tc>
          <w:tcPr>
            <w:tcW w:w="3330"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无线网桥、网线等现场施工辅材</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批</w:t>
            </w:r>
          </w:p>
        </w:tc>
        <w:tc>
          <w:tcPr>
            <w:tcW w:w="2131" w:type="dxa"/>
            <w:vAlign w:val="center"/>
          </w:tcPr>
          <w:p>
            <w:pPr>
              <w:pStyle w:val="10"/>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r>
    </w:tbl>
    <w:p>
      <w:pPr>
        <w:pStyle w:val="10"/>
        <w:keepNext w:val="0"/>
        <w:keepLines w:val="0"/>
        <w:pageBreakBefore w:val="0"/>
        <w:widowControl/>
        <w:kinsoku/>
        <w:wordWrap/>
        <w:overflowPunct/>
        <w:topLinePunct w:val="0"/>
        <w:bidi w:val="0"/>
        <w:spacing w:line="360" w:lineRule="auto"/>
        <w:rPr>
          <w:rFonts w:hint="eastAsia" w:ascii="宋体" w:hAnsi="宋体" w:eastAsia="宋体" w:cs="宋体"/>
          <w:b/>
          <w:color w:val="000000"/>
          <w:sz w:val="24"/>
          <w:szCs w:val="24"/>
          <w:lang w:val="en-US" w:eastAsia="zh-CN"/>
        </w:rPr>
      </w:pPr>
    </w:p>
    <w:p>
      <w:pPr>
        <w:pStyle w:val="10"/>
        <w:keepNext w:val="0"/>
        <w:keepLines w:val="0"/>
        <w:pageBreakBefore w:val="0"/>
        <w:widowControl/>
        <w:kinsoku/>
        <w:wordWrap/>
        <w:overflowPunct/>
        <w:topLinePunct w:val="0"/>
        <w:bidi w:val="0"/>
        <w:spacing w:line="36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三、最高限价和交付期</w:t>
      </w:r>
    </w:p>
    <w:p>
      <w:pPr>
        <w:pStyle w:val="2"/>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1.最高限价：45000元。</w:t>
      </w:r>
    </w:p>
    <w:p>
      <w:pPr>
        <w:pStyle w:val="2"/>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2.交付期：合同签订后20日完成所有安装调试及与环保平台联网并交采购人验收。</w:t>
      </w:r>
    </w:p>
    <w:p>
      <w:pPr>
        <w:pStyle w:val="14"/>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8"/>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8"/>
        <w:rPr>
          <w:rFonts w:hint="eastAsia" w:ascii="宋体" w:hAnsi="宋体" w:eastAsia="宋体" w:cs="宋体"/>
          <w:sz w:val="24"/>
          <w:szCs w:val="24"/>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4"/>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15"/>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8"/>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5"/>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984987"/>
    <w:rsid w:val="01582E9F"/>
    <w:rsid w:val="022561DB"/>
    <w:rsid w:val="024B5F91"/>
    <w:rsid w:val="03903C1F"/>
    <w:rsid w:val="04C176DC"/>
    <w:rsid w:val="05CD03BE"/>
    <w:rsid w:val="0A277760"/>
    <w:rsid w:val="0ACF324E"/>
    <w:rsid w:val="0B565E48"/>
    <w:rsid w:val="0CE1020E"/>
    <w:rsid w:val="0D272843"/>
    <w:rsid w:val="0D770891"/>
    <w:rsid w:val="0F4628CF"/>
    <w:rsid w:val="0F71729A"/>
    <w:rsid w:val="12BB52A2"/>
    <w:rsid w:val="13E76168"/>
    <w:rsid w:val="177F6166"/>
    <w:rsid w:val="19050DDA"/>
    <w:rsid w:val="192B394B"/>
    <w:rsid w:val="1B1F257F"/>
    <w:rsid w:val="1C151423"/>
    <w:rsid w:val="1C962C76"/>
    <w:rsid w:val="1CE32D75"/>
    <w:rsid w:val="1E9514A0"/>
    <w:rsid w:val="1FD72787"/>
    <w:rsid w:val="2161289E"/>
    <w:rsid w:val="231A50A3"/>
    <w:rsid w:val="25101CDA"/>
    <w:rsid w:val="25C97BEE"/>
    <w:rsid w:val="26E41B28"/>
    <w:rsid w:val="281955CF"/>
    <w:rsid w:val="2A044599"/>
    <w:rsid w:val="2A0F7B8F"/>
    <w:rsid w:val="2B05240B"/>
    <w:rsid w:val="2BF4266B"/>
    <w:rsid w:val="2CF3776A"/>
    <w:rsid w:val="2D611200"/>
    <w:rsid w:val="31E9143D"/>
    <w:rsid w:val="34BE33D7"/>
    <w:rsid w:val="361A126B"/>
    <w:rsid w:val="36545D30"/>
    <w:rsid w:val="37671CCB"/>
    <w:rsid w:val="3A5708B7"/>
    <w:rsid w:val="3C6234CA"/>
    <w:rsid w:val="3E3C3D7F"/>
    <w:rsid w:val="3F0F3FAB"/>
    <w:rsid w:val="416247C4"/>
    <w:rsid w:val="47024066"/>
    <w:rsid w:val="48911F9D"/>
    <w:rsid w:val="4AF20173"/>
    <w:rsid w:val="4BAE772A"/>
    <w:rsid w:val="4C8B4D21"/>
    <w:rsid w:val="4CEA1A71"/>
    <w:rsid w:val="4DC3281F"/>
    <w:rsid w:val="518B59E0"/>
    <w:rsid w:val="51F54803"/>
    <w:rsid w:val="5244176A"/>
    <w:rsid w:val="54F21968"/>
    <w:rsid w:val="574F6249"/>
    <w:rsid w:val="57856723"/>
    <w:rsid w:val="58071A1F"/>
    <w:rsid w:val="5F0C6580"/>
    <w:rsid w:val="606964BC"/>
    <w:rsid w:val="63545F00"/>
    <w:rsid w:val="64BB2F53"/>
    <w:rsid w:val="69BA1577"/>
    <w:rsid w:val="6B405AFC"/>
    <w:rsid w:val="6F7F20D5"/>
    <w:rsid w:val="72F06D27"/>
    <w:rsid w:val="739065EB"/>
    <w:rsid w:val="73F26EC8"/>
    <w:rsid w:val="76E16AC1"/>
    <w:rsid w:val="79692C7D"/>
    <w:rsid w:val="7C6543A4"/>
    <w:rsid w:val="7CC03557"/>
    <w:rsid w:val="7E34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5"/>
    <w:qFormat/>
    <w:uiPriority w:val="0"/>
  </w:style>
  <w:style w:type="paragraph" w:styleId="5">
    <w:name w:val="Body Text First Indent 2"/>
    <w:basedOn w:val="6"/>
    <w:qFormat/>
    <w:uiPriority w:val="0"/>
    <w:pPr>
      <w:ind w:firstLine="420"/>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toc 1"/>
    <w:basedOn w:val="1"/>
    <w:next w:val="1"/>
    <w:qFormat/>
    <w:uiPriority w:val="0"/>
    <w:pPr>
      <w:spacing w:line="180" w:lineRule="auto"/>
      <w:jc w:val="center"/>
    </w:pPr>
    <w:rPr>
      <w:sz w:val="30"/>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邓宇</cp:lastModifiedBy>
  <dcterms:modified xsi:type="dcterms:W3CDTF">2023-11-13T02:49:07Z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796B92C70F0F4764B01F0098AFD1D00F_12</vt:lpwstr>
  </property>
</Properties>
</file>