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b/>
          <w:bCs/>
          <w:sz w:val="24"/>
          <w:szCs w:val="24"/>
        </w:rPr>
        <w:t>附件1：</w:t>
      </w:r>
      <w:r>
        <w:rPr>
          <w:rFonts w:hint="eastAsia" w:ascii="宋体" w:hAnsi="宋体" w:cs="宋体"/>
          <w:b/>
          <w:bCs/>
          <w:sz w:val="24"/>
          <w:szCs w:val="24"/>
          <w:lang w:val="en-US" w:eastAsia="zh-CN"/>
        </w:rPr>
        <w:t>采购需求</w:t>
      </w:r>
    </w:p>
    <w:p>
      <w:pPr>
        <w:pageBreakBefore w:val="0"/>
        <w:kinsoku/>
        <w:wordWrap/>
        <w:overflowPunct/>
        <w:topLinePunct w:val="0"/>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一、采购项目基本情况</w:t>
      </w:r>
    </w:p>
    <w:p>
      <w:pPr>
        <w:pageBreakBefore w:val="0"/>
        <w:kinsoku/>
        <w:wordWrap/>
        <w:overflowPunct/>
        <w:topLinePunct w:val="0"/>
        <w:bidi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1.项目名称：四川省妇幼保健院停车场收费管理系统改造项目。</w:t>
      </w:r>
    </w:p>
    <w:p>
      <w:pPr>
        <w:pStyle w:val="7"/>
        <w:pageBreakBefore w:val="0"/>
        <w:widowControl/>
        <w:kinsoku/>
        <w:wordWrap/>
        <w:overflowPunct/>
        <w:topLinePunct w:val="0"/>
        <w:bidi w:val="0"/>
        <w:spacing w:before="0" w:beforeAutospacing="0" w:after="108"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2.项目位置：</w:t>
      </w:r>
      <w:r>
        <w:rPr>
          <w:rFonts w:hint="eastAsia" w:ascii="宋体" w:hAnsi="宋体" w:eastAsia="宋体" w:cs="宋体"/>
          <w:sz w:val="24"/>
          <w:szCs w:val="24"/>
        </w:rPr>
        <w:t>成都市武侯区沙堰西二街290号</w:t>
      </w:r>
      <w:r>
        <w:rPr>
          <w:rFonts w:hint="eastAsia" w:ascii="宋体" w:hAnsi="宋体" w:eastAsia="宋体" w:cs="宋体"/>
          <w:kern w:val="2"/>
          <w:sz w:val="24"/>
          <w:szCs w:val="24"/>
        </w:rPr>
        <w:t>。</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3.采购方式：竞争性磋商。</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4.本采购项目最高限价为9.5万元。</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.质保期限：</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rPr>
        <w:t>年。</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.付款方式：按照合同约定方式。</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.验收标准：</w:t>
      </w:r>
      <w:r>
        <w:rPr>
          <w:rFonts w:hint="eastAsia" w:ascii="宋体" w:hAnsi="宋体" w:eastAsia="宋体" w:cs="宋体"/>
          <w:bCs w:val="0"/>
          <w:sz w:val="24"/>
          <w:szCs w:val="24"/>
        </w:rPr>
        <w:t>按照采购文件及中标文件技术要求、政府采购相关法律法规以及《财政部关于进一步加强政府采购需求和履约验收管理的指导意见》(财库〔2016〕205号)。</w:t>
      </w:r>
    </w:p>
    <w:p>
      <w:pPr>
        <w:pStyle w:val="11"/>
        <w:pageBreakBefore w:val="0"/>
        <w:kinsoku/>
        <w:wordWrap/>
        <w:overflowPunct/>
        <w:topLinePunct w:val="0"/>
        <w:bidi w:val="0"/>
        <w:spacing w:line="360" w:lineRule="auto"/>
        <w:ind w:firstLine="0" w:firstLineChars="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w:t>
      </w:r>
      <w:r>
        <w:rPr>
          <w:rFonts w:hint="eastAsia" w:ascii="宋体" w:hAnsi="宋体" w:eastAsia="宋体" w:cs="宋体"/>
          <w:sz w:val="24"/>
          <w:szCs w:val="24"/>
        </w:rPr>
        <w:t>停车场收费管理系统</w:t>
      </w:r>
      <w:r>
        <w:rPr>
          <w:rFonts w:hint="eastAsia" w:ascii="宋体" w:hAnsi="宋体" w:eastAsia="宋体" w:cs="宋体"/>
          <w:color w:val="333333"/>
          <w:sz w:val="24"/>
          <w:szCs w:val="24"/>
          <w:shd w:val="clear" w:color="auto" w:fill="FFFFFF"/>
        </w:rPr>
        <w:t>改造采购需求</w:t>
      </w:r>
    </w:p>
    <w:p>
      <w:pPr>
        <w:pStyle w:val="11"/>
        <w:pageBreakBefore w:val="0"/>
        <w:kinsoku/>
        <w:wordWrap/>
        <w:overflowPunct/>
        <w:topLinePunct w:val="0"/>
        <w:bidi w:val="0"/>
        <w:spacing w:line="360" w:lineRule="auto"/>
        <w:ind w:firstLine="643"/>
        <w:jc w:val="left"/>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（一）系统改造项目概况</w:t>
      </w:r>
    </w:p>
    <w:p>
      <w:pPr>
        <w:pStyle w:val="11"/>
        <w:pageBreakBefore w:val="0"/>
        <w:kinsoku/>
        <w:wordWrap/>
        <w:overflowPunct/>
        <w:topLinePunct w:val="0"/>
        <w:bidi w:val="0"/>
        <w:spacing w:line="360" w:lineRule="auto"/>
        <w:ind w:firstLine="640"/>
        <w:jc w:val="left"/>
        <w:rPr>
          <w:rFonts w:hint="eastAsia" w:ascii="宋体" w:hAnsi="宋体" w:eastAsia="宋体" w:cs="宋体"/>
          <w:color w:val="333333"/>
          <w:sz w:val="24"/>
          <w:szCs w:val="24"/>
          <w:shd w:val="clear" w:color="auto" w:fill="FFFFFF"/>
        </w:rPr>
      </w:pPr>
      <w:r>
        <w:rPr>
          <w:rFonts w:hint="eastAsia" w:ascii="宋体" w:hAnsi="宋体" w:eastAsia="宋体" w:cs="宋体"/>
          <w:color w:val="000000"/>
          <w:sz w:val="24"/>
          <w:szCs w:val="24"/>
          <w:lang w:bidi="ar"/>
        </w:rPr>
        <w:t>本项目属于改造项目，</w:t>
      </w:r>
      <w:r>
        <w:rPr>
          <w:rFonts w:hint="eastAsia" w:ascii="宋体" w:hAnsi="宋体" w:eastAsia="宋体" w:cs="宋体"/>
          <w:sz w:val="24"/>
          <w:szCs w:val="24"/>
        </w:rPr>
        <w:t>目前晋阳院区车辆进出口有2进3出计5道；2进分别为靠近二十幼儿园主入口1道功能只进不出，次入口1道靠近医院门诊广场暂未启用；3出分别为主出口2道靠近医院门诊广场，次出口1道员工通道功能只出不进。</w:t>
      </w:r>
    </w:p>
    <w:p>
      <w:pPr>
        <w:pStyle w:val="11"/>
        <w:pageBreakBefore w:val="0"/>
        <w:kinsoku/>
        <w:wordWrap/>
        <w:overflowPunct/>
        <w:topLinePunct w:val="0"/>
        <w:bidi w:val="0"/>
        <w:spacing w:line="360" w:lineRule="auto"/>
        <w:ind w:firstLine="643"/>
        <w:jc w:val="left"/>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rPr>
        <w:t>（二）系统改造项目要求</w:t>
      </w:r>
    </w:p>
    <w:p>
      <w:pPr>
        <w:pStyle w:val="12"/>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1.更换全部老旧设备及停车收费管理系统；</w:t>
      </w:r>
    </w:p>
    <w:p>
      <w:pPr>
        <w:pStyle w:val="12"/>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2.改造后车辆出入实现3进3出功能；</w:t>
      </w:r>
    </w:p>
    <w:p>
      <w:pPr>
        <w:pStyle w:val="12"/>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3.主入口（靠近幼儿园）岗亭需要更新但位置不变，主出口（靠近医院广场）岗亭需要更新和移位；</w:t>
      </w:r>
    </w:p>
    <w:p>
      <w:pPr>
        <w:pStyle w:val="12"/>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4.所有设备线路（网线）需要重新更换铺设，拆除老旧设备及线路</w:t>
      </w:r>
      <w:r>
        <w:rPr>
          <w:rFonts w:hint="eastAsia" w:hAnsi="宋体" w:cs="宋体"/>
          <w:sz w:val="24"/>
          <w:szCs w:val="24"/>
          <w:lang w:eastAsia="zh-CN"/>
        </w:rPr>
        <w:t>；</w:t>
      </w:r>
    </w:p>
    <w:p>
      <w:pPr>
        <w:pStyle w:val="12"/>
        <w:pageBreakBefore w:val="0"/>
        <w:kinsoku/>
        <w:wordWrap/>
        <w:overflowPunct/>
        <w:topLinePunct w:val="0"/>
        <w:bidi w:val="0"/>
        <w:spacing w:line="360" w:lineRule="auto"/>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5.具有专业的技术及安装施工实施能力、工程中所遇到的技术及施工安全等问题自行解决；</w:t>
      </w:r>
    </w:p>
    <w:p>
      <w:pPr>
        <w:pStyle w:val="12"/>
        <w:pageBreakBefore w:val="0"/>
        <w:kinsoku/>
        <w:wordWrap/>
        <w:overflowPunct/>
        <w:topLinePunct w:val="0"/>
        <w:bidi w:val="0"/>
        <w:spacing w:line="360" w:lineRule="auto"/>
        <w:ind w:firstLine="480" w:firstLineChars="200"/>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6.项目实施时不得影响医院正常医疗秩序，施工时间按照采购方要求调整，为此产生的任何费用均不再另行支付。</w:t>
      </w:r>
    </w:p>
    <w:p>
      <w:pPr>
        <w:pStyle w:val="12"/>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p>
    <w:p>
      <w:pPr>
        <w:pStyle w:val="12"/>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p>
    <w:p>
      <w:pPr>
        <w:pStyle w:val="12"/>
        <w:pageBreakBefore w:val="0"/>
        <w:kinsoku/>
        <w:wordWrap/>
        <w:overflowPunct/>
        <w:topLinePunct w:val="0"/>
        <w:bidi w:val="0"/>
        <w:spacing w:line="360" w:lineRule="auto"/>
        <w:ind w:firstLine="482" w:firstLineChars="200"/>
        <w:rPr>
          <w:rFonts w:hint="eastAsia" w:ascii="宋体" w:hAnsi="宋体" w:eastAsia="宋体" w:cs="宋体"/>
          <w:sz w:val="24"/>
          <w:szCs w:val="24"/>
          <w:lang w:bidi="ar"/>
        </w:rPr>
      </w:pPr>
      <w:r>
        <w:rPr>
          <w:rFonts w:hint="eastAsia" w:ascii="宋体" w:hAnsi="宋体" w:eastAsia="宋体" w:cs="宋体"/>
          <w:b/>
          <w:bCs/>
          <w:sz w:val="24"/>
          <w:szCs w:val="24"/>
        </w:rPr>
        <w:t>（三）项目需求参数</w:t>
      </w:r>
    </w:p>
    <w:tbl>
      <w:tblPr>
        <w:tblStyle w:val="8"/>
        <w:tblW w:w="9038" w:type="dxa"/>
        <w:jc w:val="center"/>
        <w:tblLayout w:type="fixed"/>
        <w:tblCellMar>
          <w:top w:w="0" w:type="dxa"/>
          <w:left w:w="108" w:type="dxa"/>
          <w:bottom w:w="0" w:type="dxa"/>
          <w:right w:w="108" w:type="dxa"/>
        </w:tblCellMar>
      </w:tblPr>
      <w:tblGrid>
        <w:gridCol w:w="612"/>
        <w:gridCol w:w="1505"/>
        <w:gridCol w:w="6921"/>
      </w:tblGrid>
      <w:tr>
        <w:tblPrEx>
          <w:tblCellMar>
            <w:top w:w="0" w:type="dxa"/>
            <w:left w:w="108" w:type="dxa"/>
            <w:bottom w:w="0" w:type="dxa"/>
            <w:right w:w="108" w:type="dxa"/>
          </w:tblCellMar>
        </w:tblPrEx>
        <w:trPr>
          <w:trHeight w:val="249"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项目名称</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技术参数</w:t>
            </w:r>
          </w:p>
        </w:tc>
      </w:tr>
      <w:tr>
        <w:tblPrEx>
          <w:tblCellMar>
            <w:top w:w="0" w:type="dxa"/>
            <w:left w:w="108" w:type="dxa"/>
            <w:bottom w:w="0" w:type="dxa"/>
            <w:right w:w="108" w:type="dxa"/>
          </w:tblCellMar>
        </w:tblPrEx>
        <w:trPr>
          <w:trHeight w:val="297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车辆管理</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主机</w:t>
            </w:r>
          </w:p>
        </w:tc>
        <w:tc>
          <w:tcPr>
            <w:tcW w:w="6921" w:type="dxa"/>
            <w:tcBorders>
              <w:top w:val="single" w:color="000000" w:sz="8" w:space="0"/>
              <w:left w:val="single" w:color="000000" w:sz="8" w:space="0"/>
              <w:bottom w:val="single" w:color="000000" w:sz="8" w:space="0"/>
              <w:right w:val="single" w:color="000000" w:sz="8" w:space="0"/>
            </w:tcBorders>
            <w:vAlign w:val="center"/>
          </w:tcPr>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工作电压：AC220V±10% ，50HZ</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设备功率：65W </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处理器：双核、高频</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工作温度：-25ºC- +70ºC </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 xml:space="preserve">  </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相对湿度：≤95% 无凝露</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防雷等级：3级以上</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抓拍率：全天候 ≥ 99% </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车牌识别率：全天候 ≥ 99%</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显示屏：车位信息、停车时长、收费金额等，支持自定义</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收费模式：具备自助缴费、手机缴费、人工缴费等</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具备智能语音提示功能</w:t>
            </w:r>
            <w:r>
              <w:rPr>
                <w:rFonts w:hint="eastAsia" w:ascii="宋体" w:hAnsi="宋体" w:eastAsia="宋体" w:cs="宋体"/>
                <w:color w:val="000000"/>
                <w:kern w:val="0"/>
                <w:sz w:val="24"/>
                <w:szCs w:val="24"/>
                <w:lang w:eastAsia="zh-CN" w:bidi="ar"/>
              </w:rPr>
              <w:t>；</w:t>
            </w:r>
          </w:p>
          <w:p>
            <w:pPr>
              <w:pStyle w:val="11"/>
              <w:pageBreakBefore w:val="0"/>
              <w:widowControl/>
              <w:numPr>
                <w:ilvl w:val="0"/>
                <w:numId w:val="1"/>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通讯接口：对接网络支持TCP/IP</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1721"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textAlignment w:val="center"/>
              <w:rPr>
                <w:rFonts w:hint="eastAsia" w:ascii="宋体" w:hAnsi="宋体" w:eastAsia="宋体" w:cs="宋体"/>
                <w:color w:val="000000"/>
                <w:kern w:val="0"/>
                <w:sz w:val="24"/>
                <w:szCs w:val="24"/>
                <w:lang w:bidi="ar"/>
              </w:rPr>
            </w:pPr>
          </w:p>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智能道闸</w:t>
            </w:r>
          </w:p>
        </w:tc>
        <w:tc>
          <w:tcPr>
            <w:tcW w:w="6921" w:type="dxa"/>
            <w:tcBorders>
              <w:top w:val="single" w:color="000000" w:sz="8" w:space="0"/>
              <w:left w:val="single" w:color="000000" w:sz="8" w:space="0"/>
              <w:bottom w:val="single" w:color="000000" w:sz="8" w:space="0"/>
              <w:right w:val="single" w:color="000000" w:sz="8" w:space="0"/>
            </w:tcBorders>
            <w:vAlign w:val="center"/>
          </w:tcPr>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电源电压：AC220V±10% ，50HZ</w:t>
            </w:r>
            <w:r>
              <w:rPr>
                <w:rFonts w:hint="eastAsia" w:ascii="宋体" w:hAnsi="宋体" w:eastAsia="宋体" w:cs="宋体"/>
                <w:color w:val="000000"/>
                <w:kern w:val="0"/>
                <w:sz w:val="24"/>
                <w:szCs w:val="24"/>
                <w:lang w:eastAsia="zh-CN" w:bidi="ar"/>
              </w:rPr>
              <w:t>；</w:t>
            </w:r>
          </w:p>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工作温度：-25ºC- +70ºC </w:t>
            </w:r>
            <w:r>
              <w:rPr>
                <w:rFonts w:hint="eastAsia" w:ascii="宋体" w:hAnsi="宋体" w:eastAsia="宋体" w:cs="宋体"/>
                <w:color w:val="000000"/>
                <w:kern w:val="0"/>
                <w:sz w:val="24"/>
                <w:szCs w:val="24"/>
                <w:lang w:eastAsia="zh-CN" w:bidi="ar"/>
              </w:rPr>
              <w:t>；</w:t>
            </w:r>
          </w:p>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道闸杆长：3-5米（根据现场需求确定）</w:t>
            </w:r>
            <w:r>
              <w:rPr>
                <w:rFonts w:hint="eastAsia" w:ascii="宋体" w:hAnsi="宋体" w:eastAsia="宋体" w:cs="宋体"/>
                <w:color w:val="000000"/>
                <w:kern w:val="0"/>
                <w:sz w:val="24"/>
                <w:szCs w:val="24"/>
                <w:lang w:eastAsia="zh-CN" w:bidi="ar"/>
              </w:rPr>
              <w:t>；</w:t>
            </w:r>
          </w:p>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闸杆起落速度：≤ 3秒</w:t>
            </w:r>
            <w:r>
              <w:rPr>
                <w:rFonts w:hint="eastAsia" w:ascii="宋体" w:hAnsi="宋体" w:eastAsia="宋体" w:cs="宋体"/>
                <w:color w:val="000000"/>
                <w:kern w:val="0"/>
                <w:sz w:val="24"/>
                <w:szCs w:val="24"/>
                <w:lang w:eastAsia="zh-CN" w:bidi="ar"/>
              </w:rPr>
              <w:t>；</w:t>
            </w:r>
          </w:p>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遥控距离：≤ 30米</w:t>
            </w:r>
            <w:r>
              <w:rPr>
                <w:rFonts w:hint="eastAsia" w:ascii="宋体" w:hAnsi="宋体" w:eastAsia="宋体" w:cs="宋体"/>
                <w:color w:val="000000"/>
                <w:kern w:val="0"/>
                <w:sz w:val="24"/>
                <w:szCs w:val="24"/>
                <w:lang w:eastAsia="zh-CN" w:bidi="ar"/>
              </w:rPr>
              <w:t>；</w:t>
            </w:r>
          </w:p>
          <w:p>
            <w:pPr>
              <w:pStyle w:val="11"/>
              <w:pageBreakBefore w:val="0"/>
              <w:widowControl/>
              <w:numPr>
                <w:ilvl w:val="0"/>
                <w:numId w:val="2"/>
              </w:numPr>
              <w:kinsoku/>
              <w:wordWrap/>
              <w:overflowPunct/>
              <w:topLinePunct w:val="0"/>
              <w:bidi w:val="0"/>
              <w:spacing w:line="360" w:lineRule="auto"/>
              <w:ind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防雷等级：≥3级</w:t>
            </w:r>
            <w:r>
              <w:rPr>
                <w:rFonts w:hint="eastAsia" w:ascii="宋体" w:hAnsi="宋体" w:eastAsia="宋体" w:cs="宋体"/>
                <w:color w:val="000000"/>
                <w:kern w:val="0"/>
                <w:sz w:val="24"/>
                <w:szCs w:val="24"/>
                <w:lang w:eastAsia="zh-CN" w:bidi="ar"/>
              </w:rPr>
              <w:t>；</w:t>
            </w:r>
          </w:p>
          <w:p>
            <w:pPr>
              <w:pStyle w:val="11"/>
              <w:pageBreakBefore w:val="0"/>
              <w:widowControl/>
              <w:kinsoku/>
              <w:wordWrap/>
              <w:overflowPunct/>
              <w:topLinePunct w:val="0"/>
              <w:bidi w:val="0"/>
              <w:spacing w:line="360" w:lineRule="auto"/>
              <w:ind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7. 变频功能:支持起、落杆加减速调整，实现快速起竿、慢速落杆，平稳运行； </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 按键</w:t>
            </w:r>
            <w:r>
              <w:rPr>
                <w:rFonts w:hint="eastAsia" w:ascii="宋体" w:hAnsi="宋体" w:eastAsia="宋体" w:cs="宋体"/>
                <w:color w:val="000000"/>
                <w:kern w:val="0"/>
                <w:sz w:val="24"/>
                <w:szCs w:val="24"/>
                <w:lang w:eastAsia="zh-CN" w:bidi="ar"/>
              </w:rPr>
              <w:t>和</w:t>
            </w:r>
            <w:r>
              <w:rPr>
                <w:rFonts w:hint="eastAsia" w:ascii="宋体" w:hAnsi="宋体" w:eastAsia="宋体" w:cs="宋体"/>
                <w:color w:val="000000"/>
                <w:kern w:val="0"/>
                <w:sz w:val="24"/>
                <w:szCs w:val="24"/>
                <w:lang w:bidi="ar"/>
              </w:rPr>
              <w:t>遥控控制功能:可通过控制盒面板按键进行手动控制或通过遥控器控制档杆的开、停、关</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 防砸保护功能:可连接地感、红外、压力电波等设备进行车辆防砸保护</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 自动落杆功能:道闸同时满足开到位状态、无其他控制开信号、计时到设定时间、防砸线圈上无车条件时，道闸会自动落杆。</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11. 应急放行功能:断电后，可通过工具手动操作使道闸处于开闸状态；通过增加配件，支持断电自动抬杆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 雷达检测:通过雷达可进行检测车辆和行人</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 具有遇阻反弹功能：当闸杠下落时，遇到物体阻挡，将立即开闸（即遇到阻力自动返回）</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67"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出入口</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控制器</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1.设备远程管理功能检查：支持设备连接出入口终端管理系统，支持云端协同管理</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.远程运维功能检查：支持对设备进行远程管理、远程升级</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271"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收费管理</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系统云平台</w:t>
            </w:r>
            <w:r>
              <w:rPr>
                <w:rFonts w:hint="eastAsia" w:ascii="宋体" w:hAnsi="宋体" w:eastAsia="宋体" w:cs="宋体"/>
                <w:color w:val="auto"/>
                <w:kern w:val="0"/>
                <w:sz w:val="24"/>
                <w:szCs w:val="24"/>
                <w:lang w:eastAsia="zh-CN" w:bidi="ar"/>
              </w:rPr>
              <w:t>；</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r>
              <w:rPr>
                <w:rStyle w:val="10"/>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lang w:bidi="ar"/>
              </w:rPr>
              <w:t>.云端运维</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 支持查看场库系统在离线状态，离线时进行告警通知；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支持远程进行物联终端系统参数配置，无需前往现场处理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.快捷支付</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(1)支持微信、支付宝等多种线上支付方式，以及 ETC、微信、支付宝等多种无感支付</w:t>
            </w:r>
            <w:r>
              <w:rPr>
                <w:rFonts w:hint="eastAsia" w:ascii="宋体" w:hAnsi="宋体" w:eastAsia="宋体" w:cs="宋体"/>
                <w:color w:val="auto"/>
                <w:kern w:val="0"/>
                <w:sz w:val="24"/>
                <w:szCs w:val="24"/>
                <w:lang w:eastAsia="zh-CN" w:bidi="ar"/>
              </w:rPr>
              <w:t>；</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4</w:t>
            </w:r>
            <w:r>
              <w:rPr>
                <w:rFonts w:hint="eastAsia" w:ascii="宋体" w:hAnsi="宋体" w:eastAsia="宋体" w:cs="宋体"/>
                <w:color w:val="auto"/>
                <w:kern w:val="0"/>
                <w:sz w:val="24"/>
                <w:szCs w:val="24"/>
                <w:lang w:bidi="ar"/>
              </w:rPr>
              <w:t>.移动运营</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 在断电断网情况下，现场工作人员可以通过 APP 在入口和出口处手动入车、出车</w:t>
            </w:r>
            <w:r>
              <w:rPr>
                <w:rFonts w:hint="eastAsia" w:ascii="宋体" w:hAnsi="宋体" w:eastAsia="宋体" w:cs="宋体"/>
                <w:color w:val="auto"/>
                <w:kern w:val="0"/>
                <w:sz w:val="24"/>
                <w:szCs w:val="24"/>
                <w:lang w:eastAsia="zh-CN" w:bidi="ar"/>
              </w:rPr>
              <w:t>；</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kern w:val="0"/>
                <w:sz w:val="24"/>
                <w:szCs w:val="24"/>
                <w:lang w:bidi="ar"/>
              </w:rPr>
              <w:t>.多种接入方式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 支持通过终端设备接入停车云平台；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 支持抓拍机、抓拍显示等设备直接接入云平台。</w:t>
            </w:r>
          </w:p>
        </w:tc>
      </w:tr>
      <w:tr>
        <w:tblPrEx>
          <w:tblCellMar>
            <w:top w:w="0" w:type="dxa"/>
            <w:left w:w="108" w:type="dxa"/>
            <w:bottom w:w="0" w:type="dxa"/>
            <w:right w:w="108" w:type="dxa"/>
          </w:tblCellMar>
        </w:tblPrEx>
        <w:trPr>
          <w:trHeight w:val="67"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出入口车牌识别摄像机</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numPr>
                <w:ilvl w:val="-1"/>
                <w:numId w:val="0"/>
              </w:numPr>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断网续传功能：当网络断开时，可将抓拍图片和录像文件存储，当网络恢复时，可上传抓拍图片至本地</w:t>
            </w:r>
            <w:r>
              <w:rPr>
                <w:rFonts w:hint="eastAsia" w:ascii="宋体" w:hAnsi="宋体" w:eastAsia="宋体" w:cs="宋体"/>
                <w:color w:val="000000"/>
                <w:kern w:val="0"/>
                <w:sz w:val="24"/>
                <w:szCs w:val="24"/>
                <w:lang w:eastAsia="zh-CN" w:bidi="ar"/>
              </w:rPr>
              <w:t>；</w:t>
            </w:r>
          </w:p>
          <w:p>
            <w:pPr>
              <w:pageBreakBefore w:val="0"/>
              <w:widowControl/>
              <w:numPr>
                <w:ilvl w:val="-1"/>
                <w:numId w:val="0"/>
              </w:numPr>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2.无牌车辆抓拍功能检查：当视频监控区域内有无号牌车辆进入时，可对该车辆进行抓拍</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.机动车捕获率：在天气晴朗无雾条件下进行测试，日间机动车捕获率≥99%</w:t>
            </w:r>
            <w:r>
              <w:rPr>
                <w:rFonts w:hint="eastAsia" w:ascii="宋体" w:hAnsi="宋体" w:eastAsia="宋体" w:cs="宋体"/>
                <w:color w:val="000000"/>
                <w:kern w:val="0"/>
                <w:sz w:val="24"/>
                <w:szCs w:val="24"/>
                <w:lang w:eastAsia="zh-CN" w:bidi="ar"/>
              </w:rPr>
              <w:t>以上</w:t>
            </w:r>
            <w:r>
              <w:rPr>
                <w:rFonts w:hint="eastAsia" w:ascii="宋体" w:hAnsi="宋体" w:eastAsia="宋体" w:cs="宋体"/>
                <w:color w:val="000000"/>
                <w:kern w:val="0"/>
                <w:sz w:val="24"/>
                <w:szCs w:val="24"/>
                <w:lang w:bidi="ar"/>
              </w:rPr>
              <w:t>；夜间地动车捕获率≥99%</w:t>
            </w:r>
            <w:r>
              <w:rPr>
                <w:rFonts w:hint="eastAsia" w:ascii="宋体" w:hAnsi="宋体" w:eastAsia="宋体" w:cs="宋体"/>
                <w:color w:val="000000"/>
                <w:kern w:val="0"/>
                <w:sz w:val="24"/>
                <w:szCs w:val="24"/>
                <w:lang w:eastAsia="zh-CN" w:bidi="ar"/>
              </w:rPr>
              <w:t>以上；</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.显示屏功能检查：支持滚动或静止显示过车时间、车牌号、停车时长、收费金额、自定义内容等信息</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.补光灯控制功能检查：支持在低照度环境下，自动开启补光灯，并调节补光灯亮度</w:t>
            </w:r>
            <w:r>
              <w:rPr>
                <w:rFonts w:hint="eastAsia" w:ascii="宋体" w:hAnsi="宋体" w:eastAsia="宋体" w:cs="宋体"/>
                <w:color w:val="000000"/>
                <w:kern w:val="0"/>
                <w:sz w:val="24"/>
                <w:szCs w:val="24"/>
                <w:lang w:eastAsia="zh-CN" w:bidi="ar"/>
              </w:rPr>
              <w:t>；</w:t>
            </w:r>
          </w:p>
          <w:p>
            <w:pPr>
              <w:pageBreakBefore w:val="0"/>
              <w:widowControl/>
              <w:numPr>
                <w:ilvl w:val="-1"/>
                <w:numId w:val="0"/>
              </w:numPr>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黑白名单同步和比对功能检查：联网时，可与后台的黑白名单同步，并进行比对和管控；断网时，可使用本地保存的黑白名单进行比对和管控</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.车牌识别功能检查：支持识别大（小）型汽车、使领馆汽车、警用汽车、军车、新能源汽车（小车的绿色和大车的黄绿色的车牌号；</w:t>
            </w:r>
          </w:p>
          <w:p>
            <w:pPr>
              <w:pageBreakBefore w:val="0"/>
              <w:widowControl/>
              <w:numPr>
                <w:ilvl w:val="-1"/>
                <w:numId w:val="0"/>
              </w:numPr>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8</w:t>
            </w:r>
            <w:r>
              <w:rPr>
                <w:rFonts w:hint="eastAsia" w:ascii="宋体" w:hAnsi="宋体" w:eastAsia="宋体" w:cs="宋体"/>
                <w:color w:val="000000"/>
                <w:kern w:val="0"/>
                <w:sz w:val="24"/>
                <w:szCs w:val="24"/>
                <w:lang w:bidi="ar"/>
              </w:rPr>
              <w:t>.异常车牌识别功能：支持对部分污损车牌及遮挡面积不超过1/3的车牌进行检测和识别</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kern w:val="0"/>
                <w:sz w:val="24"/>
                <w:szCs w:val="24"/>
                <w:lang w:bidi="ar"/>
              </w:rPr>
              <w:t>.机动车行进方向识别功能检查：支持识别机动车行进方向；行进方向包括来向、去向</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bidi="ar"/>
              </w:rPr>
              <w:t>.过滤抓拍功能检查：支持过滤抓拍功能，可设置正向抓拍、背向和全部抓拍</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.虚假车牌过滤：支持对打印车牌，单独车牌照片等虚假车牌进行过滤</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.连续过车功能检查：支持于连续过车模式，连续过车时道闸不落杆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.强光抑制设置检查：强光抑制设置选项</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67"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6</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雷达探测器</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 </w:t>
            </w:r>
            <w:r>
              <w:rPr>
                <w:rFonts w:hint="eastAsia" w:ascii="宋体" w:hAnsi="宋体" w:eastAsia="宋体" w:cs="宋体"/>
                <w:color w:val="auto"/>
                <w:kern w:val="0"/>
                <w:sz w:val="24"/>
                <w:szCs w:val="24"/>
                <w:lang w:bidi="ar"/>
              </w:rPr>
              <w:t>毫米波频段</w:t>
            </w:r>
            <w:r>
              <w:rPr>
                <w:rStyle w:val="10"/>
                <w:rFonts w:hint="eastAsia" w:ascii="宋体" w:hAnsi="宋体" w:eastAsia="宋体" w:cs="宋体"/>
                <w:color w:val="auto"/>
                <w:sz w:val="24"/>
                <w:szCs w:val="24"/>
                <w:lang w:eastAsia="zh-CN"/>
              </w:rPr>
              <w:t>（波长为</w:t>
            </w:r>
            <w:r>
              <w:rPr>
                <w:rStyle w:val="10"/>
                <w:rFonts w:hint="eastAsia" w:ascii="宋体" w:hAnsi="宋体" w:eastAsia="宋体" w:cs="宋体"/>
                <w:color w:val="auto"/>
                <w:sz w:val="24"/>
                <w:szCs w:val="24"/>
                <w:lang w:val="en-US" w:eastAsia="zh-CN"/>
              </w:rPr>
              <w:t>1毫米--6米之间</w:t>
            </w:r>
            <w:r>
              <w:rPr>
                <w:rStyle w:val="10"/>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67"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7</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交换机</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 提供≥5个千兆电口</w:t>
            </w:r>
            <w:r>
              <w:rPr>
                <w:rFonts w:hint="eastAsia" w:ascii="宋体" w:hAnsi="宋体" w:eastAsia="宋体" w:cs="宋体"/>
                <w:color w:val="000000"/>
                <w:kern w:val="0"/>
                <w:sz w:val="24"/>
                <w:szCs w:val="24"/>
                <w:lang w:eastAsia="zh-CN" w:bidi="ar"/>
              </w:rPr>
              <w:t>；</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 支持IEEE 802.3、IEEE 802.3u、IEEE 802.3x</w:t>
            </w:r>
            <w:r>
              <w:rPr>
                <w:rFonts w:hint="eastAsia" w:ascii="宋体" w:hAnsi="宋体" w:eastAsia="宋体" w:cs="宋体"/>
                <w:color w:val="000000"/>
                <w:kern w:val="0"/>
                <w:sz w:val="24"/>
                <w:szCs w:val="24"/>
                <w:lang w:eastAsia="zh-CN" w:bidi="ar"/>
              </w:rPr>
              <w:t>；</w:t>
            </w:r>
          </w:p>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 支持线速转发、无阻塞设计。</w:t>
            </w:r>
          </w:p>
        </w:tc>
      </w:tr>
      <w:tr>
        <w:tblPrEx>
          <w:tblCellMar>
            <w:top w:w="0" w:type="dxa"/>
            <w:left w:w="108" w:type="dxa"/>
            <w:bottom w:w="0" w:type="dxa"/>
            <w:right w:w="108" w:type="dxa"/>
          </w:tblCellMar>
        </w:tblPrEx>
        <w:trPr>
          <w:trHeight w:val="9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8</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收发器</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千兆</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9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9</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光纤收发器</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符合管理要求</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9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电脑配置</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3台，8G内存，硬盘≥500G </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9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岗亭</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定制2个，材质：不锈钢 ；桌椅   尺寸：（1.5*1.2*2.4）米</w:t>
            </w:r>
            <w:r>
              <w:rPr>
                <w:rFonts w:hint="eastAsia" w:ascii="宋体" w:hAnsi="宋体" w:eastAsia="宋体" w:cs="宋体"/>
                <w:color w:val="000000"/>
                <w:kern w:val="0"/>
                <w:sz w:val="24"/>
                <w:szCs w:val="24"/>
                <w:lang w:eastAsia="zh-CN" w:bidi="ar"/>
              </w:rPr>
              <w:t>。</w:t>
            </w:r>
          </w:p>
        </w:tc>
      </w:tr>
      <w:tr>
        <w:tblPrEx>
          <w:tblCellMar>
            <w:top w:w="0" w:type="dxa"/>
            <w:left w:w="108" w:type="dxa"/>
            <w:bottom w:w="0" w:type="dxa"/>
            <w:right w:w="108" w:type="dxa"/>
          </w:tblCellMar>
        </w:tblPrEx>
        <w:trPr>
          <w:trHeight w:val="98" w:hRule="atLeast"/>
          <w:jc w:val="center"/>
        </w:trPr>
        <w:tc>
          <w:tcPr>
            <w:tcW w:w="612" w:type="dxa"/>
            <w:tcBorders>
              <w:top w:val="single" w:color="000000" w:sz="8" w:space="0"/>
              <w:left w:val="single" w:color="000000" w:sz="8" w:space="0"/>
              <w:bottom w:val="single" w:color="000000" w:sz="8" w:space="0"/>
              <w:right w:val="single" w:color="000000" w:sz="8"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505"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安全岛</w:t>
            </w:r>
          </w:p>
        </w:tc>
        <w:tc>
          <w:tcPr>
            <w:tcW w:w="6921" w:type="dxa"/>
            <w:tcBorders>
              <w:top w:val="single" w:color="000000" w:sz="8" w:space="0"/>
              <w:left w:val="single" w:color="000000" w:sz="8" w:space="0"/>
              <w:bottom w:val="single" w:color="000000" w:sz="8" w:space="0"/>
              <w:right w:val="single" w:color="000000" w:sz="8" w:space="0"/>
            </w:tcBorders>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2处，外表面有黄黑漆标识，尺寸：（1.55*1.25*0.20）米</w:t>
            </w:r>
            <w:r>
              <w:rPr>
                <w:rFonts w:hint="eastAsia" w:ascii="宋体" w:hAnsi="宋体" w:eastAsia="宋体" w:cs="宋体"/>
                <w:color w:val="000000"/>
                <w:kern w:val="0"/>
                <w:sz w:val="24"/>
                <w:szCs w:val="24"/>
                <w:lang w:eastAsia="zh-CN" w:bidi="ar"/>
              </w:rPr>
              <w:t>。</w:t>
            </w:r>
          </w:p>
        </w:tc>
      </w:tr>
    </w:tbl>
    <w:p>
      <w:pPr>
        <w:pStyle w:val="11"/>
        <w:pageBreakBefore w:val="0"/>
        <w:kinsoku/>
        <w:wordWrap/>
        <w:overflowPunct/>
        <w:topLinePunct w:val="0"/>
        <w:bidi w:val="0"/>
        <w:spacing w:line="360" w:lineRule="auto"/>
        <w:ind w:firstLine="240" w:firstLineChars="100"/>
        <w:jc w:val="lef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（四）系统改造原则</w:t>
      </w:r>
    </w:p>
    <w:p>
      <w:pPr>
        <w:pStyle w:val="13"/>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1.先进性与适用性</w:t>
      </w:r>
    </w:p>
    <w:p>
      <w:pPr>
        <w:pageBreakBefore w:val="0"/>
        <w:kinsoku/>
        <w:wordWrap/>
        <w:overflowPunct/>
        <w:topLinePunct w:val="0"/>
        <w:bidi w:val="0"/>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供应商应提供目前先进的软、硬件出错率低兼容性强升级容易，采用模块式结构，扩容方便，没有重复建设投资，系统的技术性能和质量指标应达到先进水平；同时，系统的安装调试、软件编程和操作使用应简便易行，容易掌握，适合本项目的特点。</w:t>
      </w:r>
    </w:p>
    <w:p>
      <w:pPr>
        <w:pStyle w:val="13"/>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2.可靠性与安全性</w:t>
      </w:r>
    </w:p>
    <w:p>
      <w:pPr>
        <w:pageBreakBefore w:val="0"/>
        <w:kinsoku/>
        <w:wordWrap/>
        <w:overflowPunct/>
        <w:topLinePunct w:val="0"/>
        <w:bidi w:val="0"/>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供应商提供的系统硬件选用先进、成熟、可靠的产品，已在类似工程中使用过许多的，系统应具有较高的可靠性，在系统故障或事故造成中断后，能确保数据的准确性、完整性和一致性，并具备迅速恢复的功能，同时系统具有一整套完成的系统管理策略，保证系统的运行安全。</w:t>
      </w:r>
    </w:p>
    <w:p>
      <w:pPr>
        <w:pStyle w:val="13"/>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3.可扩充性</w:t>
      </w:r>
    </w:p>
    <w:p>
      <w:pPr>
        <w:pageBreakBefore w:val="0"/>
        <w:kinsoku/>
        <w:wordWrap/>
        <w:overflowPunct/>
        <w:topLinePunct w:val="0"/>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color w:val="333333"/>
          <w:sz w:val="24"/>
          <w:szCs w:val="24"/>
          <w:shd w:val="clear" w:color="auto" w:fill="FFFFFF"/>
        </w:rPr>
        <w:t>供应商提供的系统应具有更新、扩充和升级的可能，为以后实际需求扩展系统功能。</w:t>
      </w:r>
      <w:r>
        <w:rPr>
          <w:rFonts w:hint="eastAsia" w:ascii="宋体" w:hAnsi="宋体" w:eastAsia="宋体" w:cs="宋体"/>
          <w:sz w:val="24"/>
          <w:szCs w:val="24"/>
          <w:shd w:val="clear" w:color="auto" w:fill="FFFFFF"/>
        </w:rPr>
        <w:t xml:space="preserve">  </w:t>
      </w:r>
      <w:r>
        <w:rPr>
          <w:rFonts w:hint="eastAsia" w:ascii="宋体" w:hAnsi="宋体" w:eastAsia="宋体" w:cs="宋体"/>
          <w:b/>
          <w:bCs/>
          <w:sz w:val="24"/>
          <w:szCs w:val="24"/>
        </w:rPr>
        <w:t xml:space="preserve"> </w:t>
      </w:r>
      <w:bookmarkStart w:id="0" w:name="_Hlk24116694"/>
    </w:p>
    <w:bookmarkEnd w:id="0"/>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（五）售后服务需求</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shd w:val="clear" w:color="auto" w:fill="FFFFFF"/>
        </w:rPr>
        <w:t>1.</w:t>
      </w:r>
      <w:r>
        <w:rPr>
          <w:rFonts w:hint="eastAsia" w:ascii="宋体" w:hAnsi="宋体" w:eastAsia="宋体" w:cs="宋体"/>
          <w:sz w:val="24"/>
          <w:szCs w:val="24"/>
        </w:rPr>
        <w:t xml:space="preserve">所有设备必须是制造商原装出厂的、全新的、包装完好的，表面无划伤、无碰撞，各项技术指标完全符合国家有关质量检测、环保标准及产品出厂标准。 </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val="0"/>
          <w:sz w:val="24"/>
          <w:szCs w:val="24"/>
        </w:rPr>
        <w:t xml:space="preserve"> 质保期：不低于贰年（采购人验收合格之日起计算）</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设备投入使用后，质保期内中标供应商每月须派遣售后服务人员巡访所提供的设备，做一些日常维护保养工作，并与直接使用人交流设备使用相关事宜，做好维保记录备查。</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3.供应商在质量保证期内应保证7*24小时受理采购方的故障维修，后端平台故障保证在1小时内作出响应，前端点位故障保证在2个小时作出响应，24小时内修复。</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4.紧急情况下，供应商应保证在1个小时内作出响应，2个小时内达到现场维修;若发生安全隐患保证在0.5小时内排除。如果在规定时间内确实无法排除故障的，供应商需提供备机。</w:t>
      </w:r>
    </w:p>
    <w:p>
      <w:pPr>
        <w:pStyle w:val="4"/>
        <w:pageBreakBefore w:val="0"/>
        <w:kinsoku/>
        <w:wordWrap/>
        <w:overflowPunct/>
        <w:topLinePunct w:val="0"/>
        <w:bidi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（六）评审方式</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本采购项目采用综合评分法。</w:t>
      </w:r>
    </w:p>
    <w:p>
      <w:pPr>
        <w:pStyle w:val="4"/>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评审细则表：</w:t>
      </w: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08"/>
        <w:gridCol w:w="740"/>
        <w:gridCol w:w="5297"/>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blHeader/>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序号</w:t>
            </w:r>
          </w:p>
        </w:tc>
        <w:tc>
          <w:tcPr>
            <w:tcW w:w="1208"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评分因素及权重</w:t>
            </w:r>
          </w:p>
        </w:tc>
        <w:tc>
          <w:tcPr>
            <w:tcW w:w="740"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分值</w:t>
            </w:r>
          </w:p>
        </w:tc>
        <w:tc>
          <w:tcPr>
            <w:tcW w:w="5297"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评分标准</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ind w:firstLine="220" w:firstLineChars="100"/>
              <w:rPr>
                <w:rFonts w:hint="eastAsia" w:ascii="宋体" w:hAnsi="宋体" w:eastAsia="宋体" w:cs="宋体"/>
                <w:sz w:val="22"/>
                <w:szCs w:val="22"/>
              </w:rPr>
            </w:pPr>
            <w:r>
              <w:rPr>
                <w:rFonts w:hint="eastAsia" w:ascii="宋体" w:hAnsi="宋体" w:eastAsia="宋体" w:cs="宋体"/>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1</w:t>
            </w:r>
          </w:p>
        </w:tc>
        <w:tc>
          <w:tcPr>
            <w:tcW w:w="1208" w:type="dxa"/>
            <w:vAlign w:val="center"/>
          </w:tcPr>
          <w:p>
            <w:pPr>
              <w:keepNext w:val="0"/>
              <w:keepLines w:val="0"/>
              <w:pageBreakBefore w:val="0"/>
              <w:kinsoku/>
              <w:wordWrap/>
              <w:overflowPunct/>
              <w:topLinePunct w:val="0"/>
              <w:autoSpaceDE/>
              <w:bidi w:val="0"/>
              <w:adjustRightInd/>
              <w:spacing w:beforeAutospacing="0" w:afterAutospacing="0" w:line="0" w:lineRule="atLeast"/>
              <w:ind w:firstLine="0" w:firstLineChars="0"/>
              <w:jc w:val="center"/>
              <w:rPr>
                <w:rFonts w:hint="eastAsia" w:ascii="宋体" w:hAnsi="宋体" w:eastAsia="宋体" w:cs="宋体"/>
                <w:sz w:val="22"/>
                <w:szCs w:val="22"/>
              </w:rPr>
            </w:pPr>
            <w:r>
              <w:rPr>
                <w:rFonts w:hint="eastAsia" w:ascii="宋体" w:hAnsi="宋体" w:eastAsia="宋体" w:cs="宋体"/>
                <w:sz w:val="22"/>
                <w:szCs w:val="22"/>
              </w:rPr>
              <w:t>报价</w:t>
            </w:r>
          </w:p>
          <w:p>
            <w:pPr>
              <w:keepNext w:val="0"/>
              <w:keepLines w:val="0"/>
              <w:pageBreakBefore w:val="0"/>
              <w:kinsoku/>
              <w:wordWrap/>
              <w:overflowPunct/>
              <w:topLinePunct w:val="0"/>
              <w:autoSpaceDE/>
              <w:bidi w:val="0"/>
              <w:adjustRightInd/>
              <w:spacing w:beforeAutospacing="0" w:afterAutospacing="0" w:line="0" w:lineRule="atLeast"/>
              <w:ind w:firstLine="0" w:firstLineChars="0"/>
              <w:jc w:val="center"/>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3</w:t>
            </w:r>
            <w:r>
              <w:rPr>
                <w:rFonts w:hint="eastAsia" w:ascii="宋体" w:hAnsi="宋体" w:eastAsia="宋体" w:cs="宋体"/>
                <w:sz w:val="22"/>
                <w:szCs w:val="22"/>
              </w:rPr>
              <w:t>%</w:t>
            </w:r>
          </w:p>
        </w:tc>
        <w:tc>
          <w:tcPr>
            <w:tcW w:w="740"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3</w:t>
            </w:r>
            <w:r>
              <w:rPr>
                <w:rFonts w:hint="eastAsia" w:ascii="宋体" w:hAnsi="宋体" w:eastAsia="宋体" w:cs="宋体"/>
                <w:sz w:val="22"/>
                <w:szCs w:val="22"/>
              </w:rPr>
              <w:t>分</w:t>
            </w:r>
          </w:p>
        </w:tc>
        <w:tc>
          <w:tcPr>
            <w:tcW w:w="5297"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以本次最低有效磋商报价为基准价，磋商报价得分=(基准价／磋商报价)*2</w:t>
            </w:r>
            <w:r>
              <w:rPr>
                <w:rFonts w:hint="eastAsia" w:ascii="宋体" w:hAnsi="宋体" w:cs="宋体"/>
                <w:sz w:val="22"/>
                <w:szCs w:val="22"/>
                <w:lang w:val="en-US" w:eastAsia="zh-CN"/>
              </w:rPr>
              <w:t>3</w:t>
            </w:r>
            <w:r>
              <w:rPr>
                <w:rFonts w:hint="eastAsia" w:ascii="宋体" w:hAnsi="宋体" w:eastAsia="宋体" w:cs="宋体"/>
                <w:sz w:val="22"/>
                <w:szCs w:val="22"/>
              </w:rPr>
              <w:t>*100% 注：评分的取值按四舍五入法，保留小数点后两位。</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2</w:t>
            </w:r>
          </w:p>
        </w:tc>
        <w:tc>
          <w:tcPr>
            <w:tcW w:w="1208"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技术指标、参数响应情况</w:t>
            </w:r>
          </w:p>
          <w:p>
            <w:pPr>
              <w:keepNext w:val="0"/>
              <w:keepLines w:val="0"/>
              <w:pageBreakBefore w:val="0"/>
              <w:widowControl/>
              <w:kinsoku/>
              <w:wordWrap/>
              <w:overflowPunct/>
              <w:topLinePunct w:val="0"/>
              <w:autoSpaceDE/>
              <w:bidi w:val="0"/>
              <w:adjustRightInd/>
              <w:spacing w:beforeAutospacing="0" w:afterAutospacing="0" w:line="0" w:lineRule="atLeast"/>
              <w:ind w:firstLine="0" w:firstLineChars="0"/>
              <w:jc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w:t>
            </w:r>
          </w:p>
        </w:tc>
        <w:tc>
          <w:tcPr>
            <w:tcW w:w="740"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分</w:t>
            </w:r>
          </w:p>
        </w:tc>
        <w:tc>
          <w:tcPr>
            <w:tcW w:w="5297"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完全符合磋商文件技术参数要求没有负偏离的得2</w:t>
            </w:r>
            <w:r>
              <w:rPr>
                <w:rFonts w:hint="eastAsia" w:ascii="宋体" w:hAnsi="宋体" w:eastAsia="宋体" w:cs="宋体"/>
                <w:color w:val="000000"/>
                <w:kern w:val="0"/>
                <w:sz w:val="22"/>
                <w:szCs w:val="22"/>
                <w:lang w:val="en-US" w:eastAsia="zh-CN" w:bidi="ar"/>
              </w:rPr>
              <w:t>7</w:t>
            </w:r>
            <w:r>
              <w:rPr>
                <w:rFonts w:hint="eastAsia" w:ascii="宋体" w:hAnsi="宋体" w:eastAsia="宋体" w:cs="宋体"/>
                <w:color w:val="000000"/>
                <w:kern w:val="0"/>
                <w:sz w:val="22"/>
                <w:szCs w:val="22"/>
                <w:lang w:bidi="ar"/>
              </w:rPr>
              <w:t>分。每个负偏离扣</w:t>
            </w:r>
            <w:r>
              <w:rPr>
                <w:rFonts w:hint="eastAsia" w:ascii="宋体" w:hAnsi="宋体" w:eastAsia="宋体" w:cs="宋体"/>
                <w:color w:val="000000"/>
                <w:kern w:val="0"/>
                <w:sz w:val="22"/>
                <w:szCs w:val="22"/>
                <w:lang w:val="en-US" w:eastAsia="zh-CN" w:bidi="ar"/>
              </w:rPr>
              <w:t>0.5分，</w:t>
            </w:r>
            <w:r>
              <w:rPr>
                <w:rFonts w:hint="eastAsia" w:ascii="宋体" w:hAnsi="宋体" w:eastAsia="宋体" w:cs="宋体"/>
                <w:color w:val="000000"/>
                <w:kern w:val="0"/>
                <w:sz w:val="22"/>
                <w:szCs w:val="22"/>
                <w:lang w:bidi="ar"/>
              </w:rPr>
              <w:t>直至扣为零分。</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3</w:t>
            </w:r>
          </w:p>
        </w:tc>
        <w:tc>
          <w:tcPr>
            <w:tcW w:w="1208" w:type="dxa"/>
            <w:vAlign w:val="center"/>
          </w:tcPr>
          <w:p>
            <w:pPr>
              <w:keepNext w:val="0"/>
              <w:keepLines w:val="0"/>
              <w:pageBreakBefore w:val="0"/>
              <w:kinsoku/>
              <w:wordWrap/>
              <w:overflowPunct/>
              <w:topLinePunct w:val="0"/>
              <w:autoSpaceDE/>
              <w:bidi w:val="0"/>
              <w:adjustRightInd/>
              <w:spacing w:beforeAutospacing="0" w:afterAutospacing="0" w:line="0" w:lineRule="atLeast"/>
              <w:jc w:val="left"/>
              <w:rPr>
                <w:rFonts w:hint="eastAsia" w:ascii="宋体" w:hAnsi="宋体" w:eastAsia="宋体" w:cs="宋体"/>
                <w:sz w:val="22"/>
                <w:szCs w:val="22"/>
              </w:rPr>
            </w:pPr>
            <w:r>
              <w:rPr>
                <w:rFonts w:hint="eastAsia" w:ascii="宋体" w:hAnsi="宋体" w:eastAsia="宋体" w:cs="宋体"/>
                <w:sz w:val="22"/>
                <w:szCs w:val="22"/>
              </w:rPr>
              <w:t>质量保证体系及实施方案</w:t>
            </w:r>
          </w:p>
          <w:p>
            <w:pPr>
              <w:keepNext w:val="0"/>
              <w:keepLines w:val="0"/>
              <w:pageBreakBefore w:val="0"/>
              <w:kinsoku/>
              <w:wordWrap/>
              <w:overflowPunct/>
              <w:topLinePunct w:val="0"/>
              <w:autoSpaceDE/>
              <w:bidi w:val="0"/>
              <w:adjustRightInd/>
              <w:spacing w:beforeAutospacing="0" w:afterAutospacing="0" w:line="0" w:lineRule="atLeast"/>
              <w:ind w:firstLine="0" w:firstLineChars="0"/>
              <w:jc w:val="center"/>
              <w:rPr>
                <w:rFonts w:hint="eastAsia" w:ascii="宋体" w:hAnsi="宋体" w:eastAsia="宋体" w:cs="宋体"/>
                <w:sz w:val="22"/>
                <w:szCs w:val="22"/>
              </w:rPr>
            </w:pPr>
            <w:r>
              <w:rPr>
                <w:rFonts w:hint="eastAsia" w:ascii="宋体" w:hAnsi="宋体" w:eastAsia="宋体" w:cs="宋体"/>
                <w:sz w:val="22"/>
                <w:szCs w:val="22"/>
                <w:lang w:val="en-US" w:eastAsia="zh-CN"/>
              </w:rPr>
              <w:t>30</w:t>
            </w:r>
            <w:r>
              <w:rPr>
                <w:rFonts w:hint="eastAsia" w:ascii="宋体" w:hAnsi="宋体" w:eastAsia="宋体" w:cs="宋体"/>
                <w:sz w:val="22"/>
                <w:szCs w:val="22"/>
              </w:rPr>
              <w:t>%</w:t>
            </w:r>
          </w:p>
        </w:tc>
        <w:tc>
          <w:tcPr>
            <w:tcW w:w="740"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0分</w:t>
            </w:r>
          </w:p>
        </w:tc>
        <w:tc>
          <w:tcPr>
            <w:tcW w:w="5297"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1.根据供应商提供的停车场收费系统改造项目质量保障方案：①质量检查制度；② 重要环节与部位控制；③作业规范和操作规程；④设备及配件质量；⑤合理的改造进度安排等质量保障措施进行综合评比：完全符合项目实际需求得</w:t>
            </w:r>
            <w:r>
              <w:rPr>
                <w:rFonts w:hint="eastAsia" w:ascii="宋体" w:hAnsi="宋体" w:eastAsia="宋体" w:cs="宋体"/>
                <w:sz w:val="22"/>
                <w:szCs w:val="22"/>
                <w:lang w:val="en-US" w:eastAsia="zh-CN"/>
              </w:rPr>
              <w:t>3</w:t>
            </w:r>
            <w:r>
              <w:rPr>
                <w:rFonts w:hint="eastAsia" w:ascii="宋体" w:hAnsi="宋体" w:eastAsia="宋体" w:cs="宋体"/>
                <w:sz w:val="22"/>
                <w:szCs w:val="22"/>
              </w:rPr>
              <w:t xml:space="preserve">0分，每有一项方案内容缺失或未涉及的扣 </w:t>
            </w:r>
            <w:r>
              <w:rPr>
                <w:rFonts w:hint="eastAsia" w:ascii="宋体" w:hAnsi="宋体" w:eastAsia="宋体" w:cs="宋体"/>
                <w:sz w:val="22"/>
                <w:szCs w:val="22"/>
                <w:lang w:val="en-US" w:eastAsia="zh-CN"/>
              </w:rPr>
              <w:t>6</w:t>
            </w:r>
            <w:r>
              <w:rPr>
                <w:rFonts w:hint="eastAsia" w:ascii="宋体" w:hAnsi="宋体" w:eastAsia="宋体" w:cs="宋体"/>
                <w:sz w:val="22"/>
                <w:szCs w:val="22"/>
              </w:rPr>
              <w:t xml:space="preserve">分；每有一项方案有缺陷的扣 </w:t>
            </w:r>
            <w:r>
              <w:rPr>
                <w:rFonts w:hint="eastAsia" w:ascii="宋体" w:hAnsi="宋体" w:eastAsia="宋体" w:cs="宋体"/>
                <w:sz w:val="22"/>
                <w:szCs w:val="22"/>
                <w:lang w:val="en-US" w:eastAsia="zh-CN"/>
              </w:rPr>
              <w:t>3</w:t>
            </w:r>
            <w:r>
              <w:rPr>
                <w:rFonts w:hint="eastAsia" w:ascii="宋体" w:hAnsi="宋体" w:eastAsia="宋体" w:cs="宋体"/>
                <w:sz w:val="22"/>
                <w:szCs w:val="22"/>
              </w:rPr>
              <w:t xml:space="preserve"> 分。直至扣为零分。</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4</w:t>
            </w:r>
          </w:p>
        </w:tc>
        <w:tc>
          <w:tcPr>
            <w:tcW w:w="1208"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ind w:left="480" w:hanging="440" w:hangingChars="20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履约能力10%</w:t>
            </w:r>
          </w:p>
        </w:tc>
        <w:tc>
          <w:tcPr>
            <w:tcW w:w="740"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10分</w:t>
            </w:r>
          </w:p>
        </w:tc>
        <w:tc>
          <w:tcPr>
            <w:tcW w:w="5297" w:type="dxa"/>
            <w:vAlign w:val="center"/>
          </w:tcPr>
          <w:p>
            <w:pPr>
              <w:pStyle w:val="3"/>
              <w:keepNext w:val="0"/>
              <w:keepLines w:val="0"/>
              <w:pageBreakBefore w:val="0"/>
              <w:kinsoku/>
              <w:wordWrap/>
              <w:overflowPunct/>
              <w:topLinePunct w:val="0"/>
              <w:autoSpaceDE/>
              <w:bidi w:val="0"/>
              <w:adjustRightInd/>
              <w:spacing w:before="0" w:beforeAutospacing="0" w:after="0" w:afterAutospacing="0" w:line="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供应商提供自2020年1月1日至今（投标截止时间）的类似项目业绩，每提供一个得2分，本项最多得10分。</w:t>
            </w:r>
          </w:p>
          <w:p>
            <w:pPr>
              <w:pStyle w:val="3"/>
              <w:keepNext w:val="0"/>
              <w:keepLines w:val="0"/>
              <w:pageBreakBefore w:val="0"/>
              <w:kinsoku/>
              <w:wordWrap/>
              <w:overflowPunct/>
              <w:topLinePunct w:val="0"/>
              <w:autoSpaceDE/>
              <w:bidi w:val="0"/>
              <w:adjustRightInd/>
              <w:spacing w:before="0" w:beforeAutospacing="0" w:after="0" w:afterAutospacing="0" w:line="0" w:lineRule="atLeast"/>
              <w:rPr>
                <w:rFonts w:hint="eastAsia" w:ascii="宋体" w:hAnsi="宋体" w:eastAsia="宋体" w:cs="宋体"/>
                <w:sz w:val="22"/>
                <w:szCs w:val="22"/>
              </w:rPr>
            </w:pP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color w:val="000000"/>
                <w:kern w:val="0"/>
                <w:sz w:val="22"/>
                <w:szCs w:val="22"/>
                <w:lang w:bidi="ar"/>
              </w:rPr>
              <w:t>业绩须提供服务合同复印件；等级保护</w:t>
            </w:r>
            <w:r>
              <w:rPr>
                <w:rFonts w:hint="eastAsia" w:ascii="宋体" w:hAnsi="宋体" w:eastAsia="宋体" w:cs="宋体"/>
                <w:sz w:val="22"/>
                <w:szCs w:val="22"/>
              </w:rPr>
              <w:t>提供备案证书复印件并加盖供应商公章。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5</w:t>
            </w:r>
          </w:p>
        </w:tc>
        <w:tc>
          <w:tcPr>
            <w:tcW w:w="1208" w:type="dxa"/>
            <w:vAlign w:val="center"/>
          </w:tcPr>
          <w:p>
            <w:pPr>
              <w:keepNext w:val="0"/>
              <w:keepLines w:val="0"/>
              <w:pageBreakBefore w:val="0"/>
              <w:kinsoku/>
              <w:wordWrap/>
              <w:overflowPunct/>
              <w:topLinePunct w:val="0"/>
              <w:autoSpaceDE/>
              <w:autoSpaceDN w:val="0"/>
              <w:bidi w:val="0"/>
              <w:adjustRightInd/>
              <w:spacing w:beforeAutospacing="0" w:afterAutospacing="0" w:line="0" w:lineRule="atLeas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项目人员配置</w:t>
            </w:r>
          </w:p>
          <w:p>
            <w:pPr>
              <w:keepNext w:val="0"/>
              <w:keepLines w:val="0"/>
              <w:pageBreakBefore w:val="0"/>
              <w:kinsoku/>
              <w:wordWrap/>
              <w:overflowPunct/>
              <w:topLinePunct w:val="0"/>
              <w:autoSpaceDE/>
              <w:autoSpaceDN w:val="0"/>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color w:val="000000"/>
                <w:kern w:val="0"/>
                <w:sz w:val="22"/>
                <w:szCs w:val="22"/>
                <w:lang w:bidi="ar"/>
              </w:rPr>
              <w:t>6%</w:t>
            </w:r>
          </w:p>
        </w:tc>
        <w:tc>
          <w:tcPr>
            <w:tcW w:w="740" w:type="dxa"/>
            <w:vAlign w:val="center"/>
          </w:tcPr>
          <w:p>
            <w:pPr>
              <w:keepNext w:val="0"/>
              <w:keepLines w:val="0"/>
              <w:pageBreakBefore w:val="0"/>
              <w:kinsoku/>
              <w:wordWrap/>
              <w:overflowPunct/>
              <w:topLinePunct w:val="0"/>
              <w:autoSpaceDE/>
              <w:autoSpaceDN w:val="0"/>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color w:val="000000"/>
                <w:sz w:val="22"/>
                <w:szCs w:val="22"/>
              </w:rPr>
              <w:t>6分</w:t>
            </w:r>
          </w:p>
        </w:tc>
        <w:tc>
          <w:tcPr>
            <w:tcW w:w="5297"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color w:val="000000"/>
                <w:kern w:val="0"/>
                <w:sz w:val="22"/>
                <w:szCs w:val="22"/>
              </w:rPr>
              <w:t>供应商应为本项目配备维保服务团队：1名项目经理和数名技术人员。其中项目经理具备通信专业技术人员资格证书或信息系统项目管理师高级证书的得2分；技术人员每有1人具有通信工程师证书或信息安全工程师证书的得1分。该项最多得6分。</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color w:val="000000"/>
                <w:kern w:val="0"/>
                <w:sz w:val="22"/>
                <w:szCs w:val="22"/>
                <w:lang w:bidi="ar"/>
              </w:rPr>
              <w:t>须提供有效证书和所投单位劳动关系证明材料复印件，否则不得分。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763" w:type="dxa"/>
            <w:vAlign w:val="center"/>
          </w:tcPr>
          <w:p>
            <w:pPr>
              <w:keepNext w:val="0"/>
              <w:keepLines w:val="0"/>
              <w:pageBreakBefore w:val="0"/>
              <w:kinsoku/>
              <w:wordWrap/>
              <w:overflowPunct/>
              <w:topLinePunct w:val="0"/>
              <w:autoSpaceDE/>
              <w:bidi w:val="0"/>
              <w:adjustRightInd/>
              <w:spacing w:beforeAutospacing="0" w:afterAutospacing="0" w:line="0" w:lineRule="atLeast"/>
              <w:jc w:val="center"/>
              <w:rPr>
                <w:rFonts w:hint="eastAsia" w:ascii="宋体" w:hAnsi="宋体" w:eastAsia="宋体" w:cs="宋体"/>
                <w:sz w:val="22"/>
                <w:szCs w:val="22"/>
              </w:rPr>
            </w:pPr>
            <w:r>
              <w:rPr>
                <w:rFonts w:hint="eastAsia" w:ascii="宋体" w:hAnsi="宋体" w:eastAsia="宋体" w:cs="宋体"/>
                <w:sz w:val="22"/>
                <w:szCs w:val="22"/>
              </w:rPr>
              <w:t>6</w:t>
            </w:r>
          </w:p>
        </w:tc>
        <w:tc>
          <w:tcPr>
            <w:tcW w:w="1208"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ind w:left="480" w:hanging="440" w:hangingChars="200"/>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售后服务4%</w:t>
            </w:r>
          </w:p>
        </w:tc>
        <w:tc>
          <w:tcPr>
            <w:tcW w:w="740"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4分</w:t>
            </w:r>
          </w:p>
        </w:tc>
        <w:tc>
          <w:tcPr>
            <w:tcW w:w="5297" w:type="dxa"/>
            <w:vAlign w:val="center"/>
          </w:tcPr>
          <w:p>
            <w:pPr>
              <w:keepNext w:val="0"/>
              <w:keepLines w:val="0"/>
              <w:pageBreakBefore w:val="0"/>
              <w:widowControl/>
              <w:kinsoku/>
              <w:wordWrap/>
              <w:overflowPunct/>
              <w:topLinePunct w:val="0"/>
              <w:autoSpaceDE/>
              <w:bidi w:val="0"/>
              <w:adjustRightInd/>
              <w:spacing w:beforeAutospacing="0" w:afterAutospacing="0" w:line="0" w:lineRule="atLeast"/>
              <w:jc w:val="left"/>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售后服务承诺详尽、可靠，售后服务响应时间及时，有可靠的保障措施详尽且有可行保障措施的得4分；较合理、完整得3分，基本能满足招标人需求的得2分，部分能满足招标人需求的得1分，与项目不符合，不合理不得分。</w:t>
            </w:r>
          </w:p>
        </w:tc>
        <w:tc>
          <w:tcPr>
            <w:tcW w:w="1492" w:type="dxa"/>
            <w:vAlign w:val="center"/>
          </w:tcPr>
          <w:p>
            <w:pPr>
              <w:keepNext w:val="0"/>
              <w:keepLines w:val="0"/>
              <w:pageBreakBefore w:val="0"/>
              <w:kinsoku/>
              <w:wordWrap/>
              <w:overflowPunct/>
              <w:topLinePunct w:val="0"/>
              <w:autoSpaceDE/>
              <w:bidi w:val="0"/>
              <w:adjustRightInd/>
              <w:spacing w:beforeAutospacing="0" w:afterAutospacing="0" w:line="0" w:lineRule="atLeast"/>
              <w:rPr>
                <w:rFonts w:hint="eastAsia" w:ascii="宋体" w:hAnsi="宋体" w:eastAsia="宋体" w:cs="宋体"/>
                <w:sz w:val="22"/>
                <w:szCs w:val="22"/>
              </w:rPr>
            </w:pPr>
            <w:r>
              <w:rPr>
                <w:rFonts w:hint="eastAsia" w:ascii="宋体" w:hAnsi="宋体" w:eastAsia="宋体" w:cs="宋体"/>
                <w:sz w:val="22"/>
                <w:szCs w:val="22"/>
              </w:rPr>
              <w:t>技术类评分因素</w:t>
            </w:r>
          </w:p>
        </w:tc>
      </w:tr>
    </w:tbl>
    <w:p>
      <w:pPr>
        <w:pStyle w:val="4"/>
        <w:keepNext w:val="0"/>
        <w:keepLines w:val="0"/>
        <w:pageBreakBefore w:val="0"/>
        <w:kinsoku/>
        <w:wordWrap/>
        <w:overflowPunct/>
        <w:topLinePunct w:val="0"/>
        <w:autoSpaceDE/>
        <w:bidi w:val="0"/>
        <w:adjustRightInd/>
        <w:spacing w:beforeAutospacing="0" w:afterAutospacing="0" w:line="0" w:lineRule="atLeast"/>
        <w:ind w:firstLine="640"/>
        <w:rPr>
          <w:rFonts w:hint="eastAsia" w:ascii="宋体" w:hAnsi="宋体" w:eastAsia="宋体" w:cs="宋体"/>
          <w:sz w:val="22"/>
          <w:szCs w:val="22"/>
        </w:rPr>
      </w:pPr>
    </w:p>
    <w:p>
      <w:pPr>
        <w:pStyle w:val="4"/>
        <w:keepNext w:val="0"/>
        <w:keepLines w:val="0"/>
        <w:pageBreakBefore w:val="0"/>
        <w:kinsoku/>
        <w:wordWrap/>
        <w:overflowPunct/>
        <w:topLinePunct w:val="0"/>
        <w:autoSpaceDE/>
        <w:bidi w:val="0"/>
        <w:adjustRightInd/>
        <w:spacing w:beforeAutospacing="0" w:afterAutospacing="0" w:line="0" w:lineRule="atLeast"/>
        <w:ind w:firstLine="640"/>
        <w:rPr>
          <w:rFonts w:hint="eastAsia" w:ascii="宋体" w:hAnsi="宋体" w:eastAsia="宋体" w:cs="宋体"/>
          <w:sz w:val="22"/>
          <w:szCs w:val="22"/>
        </w:rPr>
      </w:pPr>
    </w:p>
    <w:p>
      <w:pPr>
        <w:pStyle w:val="4"/>
        <w:keepNext w:val="0"/>
        <w:keepLines w:val="0"/>
        <w:pageBreakBefore w:val="0"/>
        <w:kinsoku/>
        <w:wordWrap/>
        <w:overflowPunct/>
        <w:topLinePunct w:val="0"/>
        <w:autoSpaceDE/>
        <w:bidi w:val="0"/>
        <w:adjustRightInd/>
        <w:spacing w:beforeAutospacing="0" w:afterAutospacing="0" w:line="0" w:lineRule="atLeast"/>
        <w:ind w:firstLine="640"/>
        <w:rPr>
          <w:rFonts w:hint="eastAsia" w:ascii="宋体" w:hAnsi="宋体" w:eastAsia="宋体" w:cs="宋体"/>
          <w:sz w:val="22"/>
          <w:szCs w:val="22"/>
        </w:rPr>
      </w:pPr>
    </w:p>
    <w:p>
      <w:pPr>
        <w:keepNext w:val="0"/>
        <w:keepLines w:val="0"/>
        <w:pageBreakBefore w:val="0"/>
        <w:kinsoku/>
        <w:wordWrap/>
        <w:overflowPunct/>
        <w:topLinePunct w:val="0"/>
        <w:autoSpaceDE/>
        <w:bidi w:val="0"/>
        <w:adjustRightInd/>
        <w:snapToGrid w:val="0"/>
        <w:spacing w:beforeAutospacing="0" w:afterAutospacing="0" w:line="0" w:lineRule="atLeast"/>
        <w:textAlignment w:val="baseline"/>
        <w:rPr>
          <w:rFonts w:hint="eastAsia" w:ascii="宋体" w:hAnsi="宋体" w:eastAsia="宋体" w:cs="宋体"/>
          <w:b/>
          <w:bCs/>
          <w:sz w:val="22"/>
          <w:szCs w:val="22"/>
        </w:rPr>
      </w:pPr>
    </w:p>
    <w:p>
      <w:pPr>
        <w:pageBreakBefore w:val="0"/>
        <w:kinsoku/>
        <w:wordWrap/>
        <w:overflowPunct/>
        <w:topLinePunct w:val="0"/>
        <w:bidi w:val="0"/>
        <w:snapToGrid w:val="0"/>
        <w:spacing w:line="360" w:lineRule="auto"/>
        <w:textAlignment w:val="baseline"/>
        <w:rPr>
          <w:rFonts w:hint="eastAsia" w:ascii="宋体" w:hAnsi="宋体" w:eastAsia="宋体" w:cs="宋体"/>
          <w:b/>
          <w:bCs/>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b/>
          <w:bCs/>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b/>
          <w:bCs/>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rPr>
        <w:t>附件2 主要表格</w:t>
      </w:r>
      <w:r>
        <w:rPr>
          <w:rFonts w:hint="eastAsia" w:ascii="宋体" w:hAnsi="宋体" w:cs="宋体"/>
          <w:b/>
          <w:bCs/>
          <w:sz w:val="24"/>
          <w:szCs w:val="24"/>
          <w:lang w:val="en-US" w:eastAsia="zh-CN"/>
        </w:rPr>
        <w:t>格式</w:t>
      </w: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u w:val="single"/>
        </w:rPr>
      </w:pPr>
    </w:p>
    <w:p>
      <w:pPr>
        <w:pStyle w:val="3"/>
        <w:rPr>
          <w:rFonts w:hint="eastAsia"/>
        </w:rPr>
      </w:pPr>
    </w:p>
    <w:p>
      <w:pPr>
        <w:pageBreakBefore w:val="0"/>
        <w:widowControl/>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u w:val="single"/>
        </w:rPr>
        <w:t>XXX</w:t>
      </w:r>
      <w:r>
        <w:rPr>
          <w:rFonts w:hint="eastAsia" w:ascii="宋体" w:hAnsi="宋体" w:eastAsia="宋体" w:cs="宋体"/>
          <w:kern w:val="0"/>
          <w:sz w:val="24"/>
          <w:szCs w:val="24"/>
        </w:rPr>
        <w:t>采购项目报价一览表</w:t>
      </w:r>
    </w:p>
    <w:p>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 </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sz w:val="24"/>
                <w:szCs w:val="24"/>
              </w:rPr>
              <w:t>序号</w:t>
            </w:r>
          </w:p>
        </w:tc>
        <w:tc>
          <w:tcPr>
            <w:tcW w:w="19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sz w:val="24"/>
                <w:szCs w:val="24"/>
              </w:rPr>
              <w:t>项目名称</w:t>
            </w:r>
          </w:p>
        </w:tc>
        <w:tc>
          <w:tcPr>
            <w:tcW w:w="1885"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sz w:val="24"/>
                <w:szCs w:val="24"/>
              </w:rPr>
              <w:t>数量</w:t>
            </w:r>
          </w:p>
        </w:tc>
        <w:tc>
          <w:tcPr>
            <w:tcW w:w="1418"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sz w:val="24"/>
                <w:szCs w:val="24"/>
              </w:rPr>
              <w:t>金额（万元）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885"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outset" w:color="000000" w:sz="2"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885"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outset" w:color="000000" w:sz="2"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9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885"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c>
          <w:tcPr>
            <w:tcW w:w="1418"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pageBreakBefore w:val="0"/>
              <w:kinsoku/>
              <w:wordWrap/>
              <w:overflowPunct/>
              <w:topLinePunct w:val="0"/>
              <w:bidi w:val="0"/>
              <w:spacing w:line="360" w:lineRule="auto"/>
              <w:rPr>
                <w:rFonts w:hint="eastAsia" w:ascii="宋体" w:hAnsi="宋体" w:eastAsia="宋体" w:cs="宋体"/>
                <w:kern w:val="0"/>
                <w:sz w:val="24"/>
                <w:szCs w:val="24"/>
              </w:rPr>
            </w:pPr>
          </w:p>
        </w:tc>
      </w:tr>
    </w:tbl>
    <w:p>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  1.报价应是最终用户验收合格后的总价，税费、采购文件规定的其它费用。</w:t>
      </w:r>
    </w:p>
    <w:p>
      <w:pPr>
        <w:pageBreakBefore w:val="0"/>
        <w:widowControl/>
        <w:kinsoku/>
        <w:wordWrap/>
        <w:overflowPunct/>
        <w:topLinePunct w:val="0"/>
        <w:bidi w:val="0"/>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2.“报价一览表”为多页的，每页均需由法定代表人或授权代表签字并盖投标人印章。</w:t>
      </w:r>
    </w:p>
    <w:p>
      <w:pPr>
        <w:pageBreakBefore w:val="0"/>
        <w:widowControl/>
        <w:kinsoku/>
        <w:wordWrap/>
        <w:overflowPunct/>
        <w:topLinePunct w:val="0"/>
        <w:bidi w:val="0"/>
        <w:spacing w:line="360" w:lineRule="auto"/>
        <w:ind w:firstLine="640"/>
        <w:jc w:val="left"/>
        <w:rPr>
          <w:rFonts w:hint="eastAsia" w:ascii="宋体" w:hAnsi="宋体" w:eastAsia="宋体" w:cs="宋体"/>
          <w:kern w:val="0"/>
          <w:sz w:val="24"/>
          <w:szCs w:val="24"/>
        </w:rPr>
      </w:pPr>
      <w:r>
        <w:rPr>
          <w:rFonts w:hint="eastAsia" w:ascii="宋体" w:hAnsi="宋体" w:eastAsia="宋体" w:cs="宋体"/>
          <w:kern w:val="0"/>
          <w:sz w:val="24"/>
          <w:szCs w:val="24"/>
        </w:rPr>
        <w:t>3.“报价一览表”需单独密封。</w:t>
      </w:r>
    </w:p>
    <w:p>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供应商名称（盖章）：        </w:t>
      </w:r>
    </w:p>
    <w:p>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法定代表人或授权代表人（签字）：     </w:t>
      </w:r>
    </w:p>
    <w:p>
      <w:pPr>
        <w:pageBreakBefore w:val="0"/>
        <w:widowControl/>
        <w:kinsoku/>
        <w:wordWrap/>
        <w:overflowPunct/>
        <w:topLinePunct w:val="0"/>
        <w:bidi w:val="0"/>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日期：</w:t>
      </w:r>
    </w:p>
    <w:p>
      <w:pPr>
        <w:pageBreakBefore w:val="0"/>
        <w:widowControl/>
        <w:kinsoku/>
        <w:wordWrap/>
        <w:overflowPunct/>
        <w:topLinePunct w:val="0"/>
        <w:bidi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ageBreakBefore w:val="0"/>
        <w:widowControl/>
        <w:kinsoku/>
        <w:wordWrap/>
        <w:overflowPunct/>
        <w:topLinePunct w:val="0"/>
        <w:bidi w:val="0"/>
        <w:spacing w:line="360" w:lineRule="auto"/>
        <w:jc w:val="center"/>
        <w:rPr>
          <w:rFonts w:hint="eastAsia" w:ascii="宋体" w:hAnsi="宋体" w:eastAsia="宋体" w:cs="宋体"/>
          <w:kern w:val="0"/>
          <w:sz w:val="24"/>
          <w:szCs w:val="24"/>
        </w:rPr>
      </w:pPr>
    </w:p>
    <w:p>
      <w:pPr>
        <w:pageBreakBefore w:val="0"/>
        <w:widowControl/>
        <w:kinsoku/>
        <w:wordWrap/>
        <w:overflowPunct/>
        <w:topLinePunct w:val="0"/>
        <w:bidi w:val="0"/>
        <w:spacing w:line="360" w:lineRule="auto"/>
        <w:jc w:val="left"/>
        <w:rPr>
          <w:rFonts w:hint="eastAsia" w:ascii="宋体" w:hAnsi="宋体" w:eastAsia="宋体" w:cs="宋体"/>
          <w:b/>
          <w:sz w:val="24"/>
          <w:szCs w:val="24"/>
          <w:lang w:val="zh-CN"/>
        </w:rPr>
      </w:pPr>
    </w:p>
    <w:p>
      <w:pPr>
        <w:pStyle w:val="5"/>
        <w:pageBreakBefore w:val="0"/>
        <w:kinsoku/>
        <w:wordWrap/>
        <w:overflowPunct/>
        <w:topLinePunct w:val="0"/>
        <w:bidi w:val="0"/>
        <w:spacing w:line="360" w:lineRule="auto"/>
        <w:rPr>
          <w:rFonts w:hint="eastAsia" w:ascii="宋体" w:hAnsi="宋体" w:eastAsia="宋体" w:cs="宋体"/>
          <w:b/>
          <w:sz w:val="24"/>
          <w:szCs w:val="24"/>
          <w:lang w:val="zh-CN"/>
        </w:rPr>
      </w:pPr>
    </w:p>
    <w:p>
      <w:pPr>
        <w:pageBreakBefore w:val="0"/>
        <w:kinsoku/>
        <w:wordWrap/>
        <w:overflowPunct/>
        <w:topLinePunct w:val="0"/>
        <w:bidi w:val="0"/>
        <w:spacing w:line="360" w:lineRule="auto"/>
        <w:rPr>
          <w:rFonts w:hint="eastAsia" w:ascii="宋体" w:hAnsi="宋体" w:eastAsia="宋体" w:cs="宋体"/>
          <w:b/>
          <w:sz w:val="24"/>
          <w:szCs w:val="24"/>
          <w:lang w:val="zh-CN"/>
        </w:rPr>
      </w:pPr>
    </w:p>
    <w:p>
      <w:pPr>
        <w:pStyle w:val="5"/>
        <w:pageBreakBefore w:val="0"/>
        <w:kinsoku/>
        <w:wordWrap/>
        <w:overflowPunct/>
        <w:topLinePunct w:val="0"/>
        <w:bidi w:val="0"/>
        <w:spacing w:line="360" w:lineRule="auto"/>
        <w:rPr>
          <w:rFonts w:hint="eastAsia" w:ascii="宋体" w:hAnsi="宋体" w:eastAsia="宋体" w:cs="宋体"/>
          <w:sz w:val="24"/>
          <w:szCs w:val="24"/>
          <w:lang w:val="zh-CN"/>
        </w:rPr>
      </w:pPr>
    </w:p>
    <w:p>
      <w:pPr>
        <w:pageBreakBefore w:val="0"/>
        <w:kinsoku/>
        <w:wordWrap/>
        <w:overflowPunct/>
        <w:topLinePunct w:val="0"/>
        <w:bidi w:val="0"/>
        <w:spacing w:line="360" w:lineRule="auto"/>
        <w:rPr>
          <w:rFonts w:hint="eastAsia" w:ascii="宋体" w:hAnsi="宋体" w:eastAsia="宋体" w:cs="宋体"/>
          <w:sz w:val="24"/>
          <w:szCs w:val="24"/>
          <w:lang w:val="zh-CN"/>
        </w:rPr>
      </w:pPr>
    </w:p>
    <w:p>
      <w:pPr>
        <w:pStyle w:val="5"/>
        <w:pageBreakBefore w:val="0"/>
        <w:kinsoku/>
        <w:wordWrap/>
        <w:overflowPunct/>
        <w:topLinePunct w:val="0"/>
        <w:bidi w:val="0"/>
        <w:spacing w:line="360" w:lineRule="auto"/>
        <w:rPr>
          <w:rFonts w:hint="eastAsia" w:ascii="宋体" w:hAnsi="宋体" w:eastAsia="宋体" w:cs="宋体"/>
          <w:sz w:val="24"/>
          <w:szCs w:val="24"/>
          <w:lang w:val="zh-CN"/>
        </w:rPr>
      </w:pPr>
    </w:p>
    <w:p>
      <w:pPr>
        <w:pageBreakBefore w:val="0"/>
        <w:kinsoku/>
        <w:wordWrap/>
        <w:overflowPunct/>
        <w:topLinePunct w:val="0"/>
        <w:bidi w:val="0"/>
        <w:spacing w:line="360" w:lineRule="auto"/>
        <w:rPr>
          <w:rFonts w:hint="eastAsia" w:ascii="宋体" w:hAnsi="宋体" w:eastAsia="宋体" w:cs="宋体"/>
          <w:sz w:val="24"/>
          <w:szCs w:val="24"/>
          <w:lang w:val="zh-CN"/>
        </w:rPr>
      </w:pPr>
    </w:p>
    <w:p>
      <w:pPr>
        <w:pStyle w:val="5"/>
        <w:pageBreakBefore w:val="0"/>
        <w:kinsoku/>
        <w:wordWrap/>
        <w:overflowPunct/>
        <w:topLinePunct w:val="0"/>
        <w:bidi w:val="0"/>
        <w:spacing w:line="360" w:lineRule="auto"/>
        <w:rPr>
          <w:rFonts w:hint="eastAsia" w:ascii="宋体" w:hAnsi="宋体" w:eastAsia="宋体" w:cs="宋体"/>
          <w:sz w:val="24"/>
          <w:szCs w:val="24"/>
          <w:lang w:val="zh-CN"/>
        </w:rPr>
      </w:pPr>
    </w:p>
    <w:p>
      <w:pPr>
        <w:pStyle w:val="2"/>
        <w:pageBreakBefore w:val="0"/>
        <w:tabs>
          <w:tab w:val="left" w:pos="540"/>
        </w:tabs>
        <w:kinsoku/>
        <w:wordWrap/>
        <w:overflowPunct/>
        <w:topLinePunct w:val="0"/>
        <w:bidi w:val="0"/>
        <w:spacing w:line="360" w:lineRule="auto"/>
        <w:ind w:left="720" w:hanging="720"/>
        <w:jc w:val="center"/>
        <w:rPr>
          <w:rFonts w:hint="eastAsia" w:ascii="宋体" w:hAnsi="宋体" w:eastAsia="宋体" w:cs="宋体"/>
          <w:bCs w:val="0"/>
          <w:sz w:val="24"/>
          <w:szCs w:val="24"/>
          <w:lang w:val="zh-CN"/>
        </w:rPr>
      </w:pPr>
      <w:r>
        <w:rPr>
          <w:rFonts w:hint="eastAsia" w:ascii="宋体" w:hAnsi="宋体" w:eastAsia="宋体" w:cs="宋体"/>
          <w:bCs w:val="0"/>
          <w:sz w:val="24"/>
          <w:szCs w:val="24"/>
          <w:lang w:val="zh-CN"/>
        </w:rPr>
        <w:t>法定代表人授权书</w:t>
      </w:r>
    </w:p>
    <w:p>
      <w:pPr>
        <w:pageBreakBefore w:val="0"/>
        <w:tabs>
          <w:tab w:val="left" w:pos="6300"/>
        </w:tabs>
        <w:kinsoku/>
        <w:wordWrap/>
        <w:overflowPunct/>
        <w:topLinePunct w:val="0"/>
        <w:bidi w:val="0"/>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pageBreakBefore w:val="0"/>
        <w:tabs>
          <w:tab w:val="left" w:pos="720"/>
          <w:tab w:val="left" w:pos="6300"/>
        </w:tabs>
        <w:kinsoku/>
        <w:wordWrap/>
        <w:overflowPunct/>
        <w:topLinePunct w:val="0"/>
        <w:bidi w:val="0"/>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pageBreakBefore w:val="0"/>
        <w:tabs>
          <w:tab w:val="left" w:pos="720"/>
          <w:tab w:val="left" w:pos="6300"/>
        </w:tabs>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pageBreakBefore w:val="0"/>
        <w:tabs>
          <w:tab w:val="left" w:pos="6300"/>
        </w:tabs>
        <w:kinsoku/>
        <w:wordWrap/>
        <w:overflowPunct/>
        <w:topLinePunct w:val="0"/>
        <w:bidi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pageBreakBefore w:val="0"/>
        <w:tabs>
          <w:tab w:val="left" w:pos="6300"/>
        </w:tabs>
        <w:kinsoku/>
        <w:wordWrap/>
        <w:overflowPunct/>
        <w:topLinePunct w:val="0"/>
        <w:bidi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pageBreakBefore w:val="0"/>
        <w:tabs>
          <w:tab w:val="left" w:pos="6300"/>
        </w:tabs>
        <w:kinsoku/>
        <w:wordWrap/>
        <w:overflowPunct/>
        <w:topLinePunct w:val="0"/>
        <w:bidi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授权代表人签字：</w:t>
      </w:r>
    </w:p>
    <w:p>
      <w:pPr>
        <w:pageBreakBefore w:val="0"/>
        <w:kinsoku/>
        <w:wordWrap/>
        <w:overflowPunct/>
        <w:topLinePunct w:val="0"/>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pageBreakBefore w:val="0"/>
        <w:kinsoku/>
        <w:wordWrap/>
        <w:overflowPunct/>
        <w:topLinePunct w:val="0"/>
        <w:bidi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pageBreakBefore w:val="0"/>
        <w:numPr>
          <w:ilvl w:val="0"/>
          <w:numId w:val="3"/>
        </w:numPr>
        <w:tabs>
          <w:tab w:val="left" w:pos="6300"/>
        </w:tabs>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pageBreakBefore w:val="0"/>
        <w:widowControl/>
        <w:kinsoku/>
        <w:wordWrap/>
        <w:overflowPunct/>
        <w:topLinePunct w:val="0"/>
        <w:bidi w:val="0"/>
        <w:spacing w:line="360" w:lineRule="auto"/>
        <w:ind w:firstLine="640"/>
        <w:jc w:val="left"/>
        <w:rPr>
          <w:rFonts w:hint="eastAsia" w:ascii="宋体" w:hAnsi="宋体" w:eastAsia="宋体" w:cs="宋体"/>
          <w:kern w:val="0"/>
          <w:sz w:val="24"/>
          <w:szCs w:val="24"/>
        </w:rPr>
      </w:pPr>
    </w:p>
    <w:p>
      <w:pPr>
        <w:pageBreakBefore w:val="0"/>
        <w:widowControl/>
        <w:kinsoku/>
        <w:wordWrap/>
        <w:overflowPunct/>
        <w:topLinePunct w:val="0"/>
        <w:bidi w:val="0"/>
        <w:spacing w:line="360" w:lineRule="auto"/>
        <w:ind w:firstLine="640"/>
        <w:jc w:val="left"/>
        <w:rPr>
          <w:rFonts w:hint="eastAsia" w:ascii="宋体" w:hAnsi="宋体" w:eastAsia="宋体" w:cs="宋体"/>
          <w:kern w:val="0"/>
          <w:sz w:val="24"/>
          <w:szCs w:val="24"/>
        </w:rPr>
      </w:pPr>
    </w:p>
    <w:p>
      <w:pPr>
        <w:pStyle w:val="6"/>
        <w:pageBreakBefore w:val="0"/>
        <w:kinsoku/>
        <w:wordWrap/>
        <w:overflowPunct/>
        <w:topLinePunct w:val="0"/>
        <w:bidi w:val="0"/>
        <w:spacing w:line="360" w:lineRule="auto"/>
        <w:rPr>
          <w:rFonts w:hint="eastAsia" w:ascii="宋体" w:hAnsi="宋体" w:eastAsia="宋体" w:cs="宋体"/>
          <w:kern w:val="0"/>
          <w:sz w:val="24"/>
          <w:szCs w:val="24"/>
        </w:rPr>
      </w:pPr>
    </w:p>
    <w:p>
      <w:pPr>
        <w:pStyle w:val="6"/>
        <w:pageBreakBefore w:val="0"/>
        <w:kinsoku/>
        <w:wordWrap/>
        <w:overflowPunct/>
        <w:topLinePunct w:val="0"/>
        <w:bidi w:val="0"/>
        <w:spacing w:line="360" w:lineRule="auto"/>
        <w:rPr>
          <w:rFonts w:hint="eastAsia" w:ascii="宋体" w:hAnsi="宋体" w:eastAsia="宋体" w:cs="宋体"/>
          <w:kern w:val="0"/>
          <w:sz w:val="24"/>
          <w:szCs w:val="24"/>
        </w:rPr>
      </w:pPr>
    </w:p>
    <w:p>
      <w:pPr>
        <w:pStyle w:val="6"/>
        <w:pageBreakBefore w:val="0"/>
        <w:kinsoku/>
        <w:wordWrap/>
        <w:overflowPunct/>
        <w:topLinePunct w:val="0"/>
        <w:bidi w:val="0"/>
        <w:spacing w:line="360" w:lineRule="auto"/>
        <w:rPr>
          <w:rFonts w:hint="eastAsia" w:ascii="宋体" w:hAnsi="宋体" w:eastAsia="宋体" w:cs="宋体"/>
          <w:kern w:val="0"/>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p>
    <w:p>
      <w:pPr>
        <w:pageBreakBefore w:val="0"/>
        <w:kinsoku/>
        <w:wordWrap/>
        <w:overflowPunct/>
        <w:topLinePunct w:val="0"/>
        <w:bidi w:val="0"/>
        <w:spacing w:line="360" w:lineRule="auto"/>
        <w:rPr>
          <w:rFonts w:hint="eastAsia" w:ascii="宋体" w:hAnsi="宋体" w:eastAsia="宋体" w:cs="宋体"/>
          <w:b/>
          <w:bCs/>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p>
    <w:p>
      <w:pPr>
        <w:pageBreakBefore w:val="0"/>
        <w:kinsoku/>
        <w:wordWrap/>
        <w:overflowPunct/>
        <w:topLinePunct w:val="0"/>
        <w:bidi w:val="0"/>
        <w:spacing w:line="360" w:lineRule="auto"/>
        <w:rPr>
          <w:rFonts w:hint="eastAsia" w:ascii="宋体" w:hAnsi="宋体" w:eastAsia="宋体" w:cs="宋体"/>
          <w:b/>
          <w:bCs/>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p>
    <w:p>
      <w:pPr>
        <w:pageBreakBefore w:val="0"/>
        <w:kinsoku/>
        <w:wordWrap/>
        <w:overflowPunct/>
        <w:topLinePunct w:val="0"/>
        <w:bidi w:val="0"/>
        <w:spacing w:line="360" w:lineRule="auto"/>
        <w:rPr>
          <w:rFonts w:hint="eastAsia" w:ascii="宋体" w:hAnsi="宋体" w:eastAsia="宋体" w:cs="宋体"/>
          <w:b/>
          <w:bCs/>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jc w:val="center"/>
        <w:rPr>
          <w:rFonts w:hint="eastAsia" w:ascii="宋体" w:hAnsi="宋体" w:eastAsia="宋体" w:cs="宋体"/>
          <w:b/>
          <w:bCs/>
          <w:sz w:val="24"/>
          <w:szCs w:val="24"/>
        </w:rPr>
      </w:pPr>
    </w:p>
    <w:p>
      <w:pPr>
        <w:pStyle w:val="5"/>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无围标、串标行为承诺书</w:t>
      </w:r>
    </w:p>
    <w:p>
      <w:pPr>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1.不同供应商的投标文件由同一单位或者个人编制；</w:t>
      </w:r>
    </w:p>
    <w:p>
      <w:pPr>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2.不同供应商委托同一单位或者个人办理投标事宜；</w:t>
      </w:r>
    </w:p>
    <w:p>
      <w:pPr>
        <w:pStyle w:val="5"/>
        <w:pageBreakBefore w:val="0"/>
        <w:kinsoku/>
        <w:wordWrap/>
        <w:overflowPunct/>
        <w:topLinePunct w:val="0"/>
        <w:bidi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3.不同供应商的投标文件载明的项目管理成员或者联系人员为同一人；</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4.不同供应商的投标文件异常一致或者投标报价呈规律性差异；</w:t>
      </w: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5.不同供应商的投标文件相互混装；</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6.不同供应商的投标保证金从同一单位或者个人的账户转出；</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7.不同供应商的董事、监事、高管、单位负责人为同一人或者存在控股、管理关系的不同单位参加同一采购项目；</w:t>
      </w: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8.供应商之间事先约定由某一特定供应商中标、成交；</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9.供应商之间商定部分供应商放弃参加采购活动或者放弃中标、成交；</w:t>
      </w:r>
    </w:p>
    <w:p>
      <w:pPr>
        <w:pStyle w:val="5"/>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10.法律法规界定的其他围标串标行为。</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供应商法人代表或授权代表人（承诺人） ：</w:t>
      </w: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投标人：（公章）  </w:t>
      </w:r>
    </w:p>
    <w:p>
      <w:pPr>
        <w:pStyle w:val="5"/>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widowControl/>
        <w:spacing w:line="360" w:lineRule="atLeast"/>
        <w:jc w:val="center"/>
        <w:outlineLvl w:val="2"/>
        <w:rPr>
          <w:rFonts w:hint="eastAsia" w:ascii="宋体" w:hAnsi="宋体" w:eastAsia="宋体" w:cs="宋体"/>
          <w:b/>
          <w:sz w:val="24"/>
          <w:szCs w:val="24"/>
        </w:rPr>
      </w:pPr>
    </w:p>
    <w:p>
      <w:pPr>
        <w:widowControl/>
        <w:spacing w:line="360" w:lineRule="atLeast"/>
        <w:jc w:val="center"/>
        <w:outlineLvl w:val="2"/>
        <w:rPr>
          <w:rFonts w:hint="eastAsia" w:ascii="宋体" w:hAnsi="宋体" w:eastAsia="宋体" w:cs="宋体"/>
          <w:b/>
          <w:sz w:val="24"/>
          <w:szCs w:val="24"/>
        </w:rPr>
      </w:pPr>
    </w:p>
    <w:p>
      <w:pPr>
        <w:widowControl/>
        <w:spacing w:line="360" w:lineRule="atLeast"/>
        <w:jc w:val="center"/>
        <w:outlineLvl w:val="2"/>
        <w:rPr>
          <w:rFonts w:hint="eastAsia" w:ascii="宋体" w:hAnsi="宋体" w:eastAsia="宋体" w:cs="宋体"/>
          <w:b/>
          <w:sz w:val="24"/>
          <w:szCs w:val="24"/>
        </w:rPr>
      </w:pPr>
      <w:r>
        <w:rPr>
          <w:rFonts w:hint="eastAsia" w:ascii="宋体" w:hAnsi="宋体" w:eastAsia="宋体" w:cs="宋体"/>
          <w:b/>
          <w:sz w:val="24"/>
          <w:szCs w:val="24"/>
        </w:rPr>
        <w:t>承诺函</w:t>
      </w:r>
    </w:p>
    <w:p>
      <w:pPr>
        <w:spacing w:line="360" w:lineRule="exact"/>
        <w:rPr>
          <w:rFonts w:hint="eastAsia" w:ascii="宋体" w:hAnsi="宋体" w:eastAsia="宋体" w:cs="宋体"/>
          <w:b/>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XXXX：</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我单位作为本次采购项目的投标人，根据招标文件要求，现郑重承诺如下：</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具备《中华人民共和国政府采购法》第二十二条第一款和本项目规定的条件：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）法律、行政法规规定的其他条件；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）根据采购项目提出的特殊条件。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本单位对上述承诺的内容事项真实性负责。如经查实上述承诺的内容事项存在虚假，我单位愿意接受以提供虚假材料谋取中标追究法律责任。</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sz w:val="24"/>
          <w:szCs w:val="24"/>
        </w:rPr>
        <w:t>投标人名称：XXXX（单位公章）。</w:t>
      </w:r>
    </w:p>
    <w:p>
      <w:pPr>
        <w:spacing w:line="360" w:lineRule="exact"/>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法定代表人/单位负责人或授权代表（签字或加盖个人名章）：XXXX。</w:t>
      </w:r>
    </w:p>
    <w:p>
      <w:pPr>
        <w:spacing w:line="360" w:lineRule="exact"/>
        <w:rPr>
          <w:rFonts w:hint="eastAsia" w:ascii="宋体" w:hAnsi="宋体" w:eastAsia="宋体" w:cs="宋体"/>
          <w:sz w:val="24"/>
          <w:szCs w:val="24"/>
        </w:rPr>
      </w:pPr>
      <w:r>
        <w:rPr>
          <w:rFonts w:hint="eastAsia" w:ascii="宋体" w:hAnsi="宋体" w:eastAsia="宋体" w:cs="宋体"/>
          <w:sz w:val="24"/>
          <w:szCs w:val="24"/>
        </w:rPr>
        <w:t>日    期：XXXX。</w:t>
      </w:r>
    </w:p>
    <w:p>
      <w:pPr>
        <w:pStyle w:val="3"/>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pStyle w:val="7"/>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技术、服务响应/偏离表 </w:t>
      </w:r>
    </w:p>
    <w:p>
      <w:pPr>
        <w:pStyle w:val="7"/>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b/>
          <w:sz w:val="24"/>
          <w:szCs w:val="24"/>
          <w:u w:val="single"/>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p>
    <w:p>
      <w:pPr>
        <w:pStyle w:val="7"/>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8"/>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7"/>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7"/>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7"/>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7"/>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7"/>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7"/>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注：</w:t>
      </w:r>
    </w:p>
    <w:p>
      <w:pPr>
        <w:pStyle w:val="7"/>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7"/>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pStyle w:val="7"/>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p>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项目业绩表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004"/>
        <w:gridCol w:w="1110"/>
        <w:gridCol w:w="2521"/>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省外省级以上单位用户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用户名称</w:t>
            </w: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合同签订日期</w:t>
            </w: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省内省级单位用户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restart"/>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省内其他用户</w:t>
            </w: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04" w:type="dxa"/>
            <w:vMerge w:val="continue"/>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3004"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110"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2521"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c>
          <w:tcPr>
            <w:tcW w:w="1233" w:type="dxa"/>
            <w:noWrap w:val="0"/>
            <w:vAlign w:val="center"/>
          </w:tcPr>
          <w:p>
            <w:pPr>
              <w:keepNext w:val="0"/>
              <w:keepLines w:val="0"/>
              <w:pageBreakBefore w:val="0"/>
              <w:kinsoku/>
              <w:overflowPunct/>
              <w:topLinePunct w:val="0"/>
              <w:autoSpaceDE/>
              <w:autoSpaceDN/>
              <w:bidi w:val="0"/>
              <w:spacing w:beforeAutospacing="0" w:afterAutospacing="0" w:line="360" w:lineRule="auto"/>
              <w:jc w:val="center"/>
              <w:textAlignment w:val="auto"/>
              <w:rPr>
                <w:rFonts w:hint="eastAsia" w:ascii="宋体" w:hAnsi="宋体" w:eastAsia="宋体" w:cs="宋体"/>
                <w:sz w:val="24"/>
                <w:szCs w:val="24"/>
                <w:highlight w:val="none"/>
              </w:rPr>
            </w:pPr>
          </w:p>
        </w:tc>
      </w:tr>
    </w:tbl>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说明：1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表中项目为近</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年业绩，用户仍在合作；2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只填写与本次项目一致。</w:t>
      </w:r>
    </w:p>
    <w:p>
      <w:pPr>
        <w:pStyle w:val="7"/>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7"/>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附件3 采购文件装订顺序</w:t>
      </w:r>
    </w:p>
    <w:p>
      <w:pPr>
        <w:pStyle w:val="7"/>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jc w:val="both"/>
        <w:textAlignment w:val="auto"/>
        <w:rPr>
          <w:rFonts w:hint="eastAsia" w:ascii="宋体" w:hAnsi="宋体" w:eastAsia="宋体" w:cs="宋体"/>
          <w:sz w:val="24"/>
          <w:szCs w:val="24"/>
          <w:highlight w:val="none"/>
          <w:shd w:val="clear" w:color="auto" w:fill="FFFFFF"/>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1</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2</w:t>
      </w:r>
      <w:r>
        <w:rPr>
          <w:rFonts w:hint="eastAsia" w:ascii="宋体" w:hAnsi="宋体" w:eastAsia="宋体" w:cs="宋体"/>
          <w:color w:val="333333"/>
          <w:spacing w:val="8"/>
          <w:kern w:val="0"/>
          <w:sz w:val="24"/>
          <w:szCs w:val="24"/>
          <w:highlight w:val="none"/>
          <w:lang w:val="en-US" w:eastAsia="zh-CN"/>
        </w:rPr>
        <w:t>.</w:t>
      </w:r>
      <w:r>
        <w:rPr>
          <w:rFonts w:hint="eastAsia" w:ascii="宋体" w:hAnsi="宋体" w:eastAsia="宋体" w:cs="宋体"/>
          <w:color w:val="333333"/>
          <w:spacing w:val="8"/>
          <w:kern w:val="0"/>
          <w:sz w:val="24"/>
          <w:szCs w:val="24"/>
          <w:highlight w:val="none"/>
        </w:rPr>
        <w:t>目录。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rPr>
        <w:t>3</w:t>
      </w:r>
      <w:r>
        <w:rPr>
          <w:rFonts w:hint="eastAsia" w:ascii="宋体" w:hAnsi="宋体" w:eastAsia="宋体" w:cs="宋体"/>
          <w:color w:val="333333"/>
          <w:spacing w:val="8"/>
          <w:kern w:val="0"/>
          <w:sz w:val="24"/>
          <w:szCs w:val="24"/>
          <w:highlight w:val="none"/>
          <w:lang w:val="en-US" w:eastAsia="zh-CN"/>
        </w:rPr>
        <w:t>.报价一览表</w:t>
      </w:r>
      <w:r>
        <w:rPr>
          <w:rFonts w:hint="eastAsia" w:ascii="宋体" w:hAnsi="宋体" w:eastAsia="宋体" w:cs="宋体"/>
          <w:color w:val="333333"/>
          <w:spacing w:val="8"/>
          <w:kern w:val="0"/>
          <w:sz w:val="24"/>
          <w:szCs w:val="24"/>
          <w:highlight w:val="none"/>
        </w:rPr>
        <w:t>（格式见附件</w:t>
      </w:r>
      <w:r>
        <w:rPr>
          <w:rFonts w:hint="eastAsia" w:ascii="宋体" w:hAnsi="宋体" w:eastAsia="宋体" w:cs="宋体"/>
          <w:color w:val="333333"/>
          <w:spacing w:val="8"/>
          <w:kern w:val="0"/>
          <w:sz w:val="24"/>
          <w:szCs w:val="24"/>
          <w:highlight w:val="none"/>
          <w:lang w:val="en-US" w:eastAsia="zh-CN"/>
        </w:rPr>
        <w:t>2</w:t>
      </w:r>
      <w:r>
        <w:rPr>
          <w:rFonts w:hint="eastAsia" w:ascii="宋体" w:hAnsi="宋体" w:eastAsia="宋体" w:cs="宋体"/>
          <w:color w:val="333333"/>
          <w:spacing w:val="8"/>
          <w:kern w:val="0"/>
          <w:sz w:val="24"/>
          <w:szCs w:val="24"/>
          <w:highlight w:val="none"/>
        </w:rPr>
        <w:t>）。</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4.</w:t>
      </w:r>
      <w:r>
        <w:rPr>
          <w:rFonts w:hint="eastAsia" w:ascii="宋体" w:hAnsi="宋体" w:eastAsia="宋体" w:cs="宋体"/>
          <w:color w:val="333333"/>
          <w:spacing w:val="8"/>
          <w:kern w:val="0"/>
          <w:sz w:val="24"/>
          <w:szCs w:val="24"/>
          <w:highlight w:val="none"/>
        </w:rPr>
        <w:t>企业营业执照、</w:t>
      </w:r>
      <w:r>
        <w:rPr>
          <w:rFonts w:hint="eastAsia" w:ascii="宋体" w:hAnsi="宋体" w:eastAsia="宋体" w:cs="宋体"/>
          <w:color w:val="333333"/>
          <w:kern w:val="0"/>
          <w:sz w:val="24"/>
          <w:szCs w:val="24"/>
          <w:highlight w:val="none"/>
        </w:rPr>
        <w:t>组织机构代码证、税务登记证或三证合一</w:t>
      </w:r>
      <w:r>
        <w:rPr>
          <w:rFonts w:hint="eastAsia" w:ascii="宋体" w:hAnsi="宋体" w:eastAsia="宋体" w:cs="宋体"/>
          <w:color w:val="333333"/>
          <w:spacing w:val="8"/>
          <w:kern w:val="0"/>
          <w:sz w:val="24"/>
          <w:szCs w:val="24"/>
          <w:highlight w:val="none"/>
        </w:rPr>
        <w:t>（复印件）。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5.</w:t>
      </w:r>
      <w:r>
        <w:rPr>
          <w:rFonts w:hint="eastAsia" w:ascii="宋体" w:hAnsi="宋体" w:eastAsia="宋体" w:cs="宋体"/>
          <w:color w:val="333333"/>
          <w:kern w:val="0"/>
          <w:sz w:val="24"/>
          <w:szCs w:val="24"/>
          <w:highlight w:val="none"/>
        </w:rPr>
        <w:t>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6.其它资质及</w:t>
      </w:r>
      <w:r>
        <w:rPr>
          <w:rFonts w:hint="eastAsia" w:ascii="宋体" w:hAnsi="宋体" w:eastAsia="宋体" w:cs="宋体"/>
          <w:color w:val="333333"/>
          <w:kern w:val="0"/>
          <w:sz w:val="24"/>
          <w:szCs w:val="24"/>
          <w:highlight w:val="none"/>
        </w:rPr>
        <w:t>相关承诺函。</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7.</w:t>
      </w:r>
      <w:r>
        <w:rPr>
          <w:rFonts w:hint="eastAsia" w:ascii="宋体" w:hAnsi="宋体" w:eastAsia="宋体" w:cs="宋体"/>
          <w:color w:val="333333"/>
          <w:kern w:val="0"/>
          <w:sz w:val="24"/>
          <w:szCs w:val="24"/>
          <w:highlight w:val="none"/>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spacing w:val="8"/>
          <w:kern w:val="0"/>
          <w:sz w:val="24"/>
          <w:szCs w:val="24"/>
          <w:highlight w:val="none"/>
          <w:lang w:val="en-US" w:eastAsia="zh-CN"/>
        </w:rPr>
        <w:t>8.</w:t>
      </w:r>
      <w:r>
        <w:rPr>
          <w:rFonts w:hint="eastAsia" w:ascii="宋体" w:hAnsi="宋体" w:eastAsia="宋体" w:cs="宋体"/>
          <w:color w:val="333333"/>
          <w:spacing w:val="8"/>
          <w:kern w:val="0"/>
          <w:sz w:val="24"/>
          <w:szCs w:val="24"/>
          <w:highlight w:val="none"/>
        </w:rPr>
        <w:t>售后</w:t>
      </w:r>
      <w:r>
        <w:rPr>
          <w:rFonts w:hint="eastAsia" w:ascii="宋体" w:hAnsi="宋体" w:eastAsia="宋体" w:cs="宋体"/>
          <w:color w:val="333333"/>
          <w:kern w:val="0"/>
          <w:sz w:val="24"/>
          <w:szCs w:val="24"/>
          <w:highlight w:val="none"/>
        </w:rPr>
        <w:t>服务承诺书。</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9.供应商认为需要提供的其它材料。</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lang w:val="en-US" w:eastAsia="zh-CN"/>
        </w:rPr>
        <w:t>10.</w:t>
      </w:r>
      <w:r>
        <w:rPr>
          <w:rFonts w:hint="eastAsia" w:ascii="宋体" w:hAnsi="宋体" w:eastAsia="宋体" w:cs="宋体"/>
          <w:color w:val="333333"/>
          <w:spacing w:val="8"/>
          <w:kern w:val="0"/>
          <w:sz w:val="24"/>
          <w:szCs w:val="24"/>
          <w:highlight w:val="none"/>
        </w:rPr>
        <w:t>封底。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left="-420" w:leftChars="-200" w:right="-420" w:rightChars="-200"/>
        <w:jc w:val="left"/>
        <w:textAlignment w:val="auto"/>
        <w:rPr>
          <w:rFonts w:hint="eastAsia" w:ascii="宋体" w:hAnsi="宋体" w:eastAsia="宋体" w:cs="宋体"/>
          <w:b/>
          <w:bCs/>
          <w:color w:val="333333"/>
          <w:kern w:val="0"/>
          <w:sz w:val="24"/>
          <w:szCs w:val="24"/>
          <w:highlight w:val="none"/>
        </w:rPr>
      </w:pPr>
      <w:r>
        <w:rPr>
          <w:rFonts w:hint="eastAsia" w:ascii="宋体" w:hAnsi="宋体" w:eastAsia="宋体" w:cs="宋体"/>
          <w:b/>
          <w:bCs/>
          <w:color w:val="333333"/>
          <w:kern w:val="0"/>
          <w:sz w:val="24"/>
          <w:szCs w:val="24"/>
          <w:highlight w:val="none"/>
        </w:rPr>
        <w:t>注：请务必按以上顺序装订资料，如有非中文资料，请同时提供中文翻译件。</w:t>
      </w:r>
    </w:p>
    <w:p>
      <w:pPr>
        <w:pageBreakBefore w:val="0"/>
        <w:kinsoku/>
        <w:wordWrap/>
        <w:overflowPunct/>
        <w:topLinePunct w:val="0"/>
        <w:bidi w:val="0"/>
        <w:snapToGrid w:val="0"/>
        <w:spacing w:line="360" w:lineRule="auto"/>
        <w:ind w:firstLine="487" w:firstLineChars="202"/>
        <w:textAlignment w:val="baseline"/>
        <w:rPr>
          <w:rFonts w:hint="eastAsia" w:ascii="宋体" w:hAnsi="宋体" w:eastAsia="宋体" w:cs="宋体"/>
          <w:b/>
          <w:bCs/>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b/>
          <w:bCs/>
          <w:sz w:val="24"/>
          <w:szCs w:val="24"/>
        </w:rPr>
      </w:pPr>
    </w:p>
    <w:p>
      <w:pPr>
        <w:pageBreakBefore w:val="0"/>
        <w:tabs>
          <w:tab w:val="left" w:pos="6645"/>
        </w:tabs>
        <w:kinsoku/>
        <w:wordWrap/>
        <w:overflowPunct/>
        <w:topLinePunct w:val="0"/>
        <w:bidi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附件4</w:t>
      </w:r>
    </w:p>
    <w:p>
      <w:pPr>
        <w:pageBreakBefore w:val="0"/>
        <w:tabs>
          <w:tab w:val="left" w:pos="6645"/>
        </w:tabs>
        <w:kinsoku/>
        <w:wordWrap/>
        <w:overflowPunct/>
        <w:topLinePunct w:val="0"/>
        <w:bidi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反商业贿赂承诺书</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六、 采购物资名称：                                   </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p>
    <w:p>
      <w:pPr>
        <w:pStyle w:val="5"/>
        <w:pageBreakBefore w:val="0"/>
        <w:kinsoku/>
        <w:wordWrap/>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附件5 </w:t>
      </w:r>
    </w:p>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供应商遵守招标采购纪律承诺书</w:t>
      </w:r>
    </w:p>
    <w:p>
      <w:pPr>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致四川省妇幼保健院：</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我单位作为本次采购项目的供应商，根据响应文件要求，现郑重承诺如下：</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一、参加本次采购活动，我单位不存在与单位负责人为同一人或者存在直接控股、管理关系的其他供应商参与同一合同项下的采购活动的行为。</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二、参加本次采购活动，不得直接或者间接从采购人或者采购代理机构处获得其他供应商的相关情况并修改其投标文件或者响应文件。</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三、参加本次采购活动，不得按照采购人的授意撤换、修改投标文件或者响应文件。</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四、参加本次采购活动，不得和本次采购供应商之间协商报价、技术方案等投标文件或者响应文件的实质性内容。</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五、本次采购活动中，不存在属于同一集团、协会、商会等组织成员的供应商按照该组织要求协同参加本次采购活动。</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六、参加本次采购活动，不存在与其他供应商之间事先约定由某一特定供应商中标、成交。</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七、参加本次采购活动，不存在与其他供应商商定部分供应商放弃参加采购活动或者放弃中标、成交。</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八、参加本次采购活动，不存在我单位的投标文件或者响应文件由其他参与本项目的单位或个人编制或委托办理投标事宜。</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九、参加本次采购活动，不存在我单位与采购人之间、供应商相互之间，为谋求特定供应商中标、成交或者排斥其他供应商的其他串通行为。</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十、与我方存在直接控股关系的单位为：XXX；存在管理关系单位为：XXX。</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ageBreakBefore w:val="0"/>
        <w:kinsoku/>
        <w:wordWrap/>
        <w:overflowPunct/>
        <w:topLinePunct w:val="0"/>
        <w:bidi w:val="0"/>
        <w:spacing w:line="360" w:lineRule="auto"/>
        <w:rPr>
          <w:rFonts w:hint="eastAsia" w:ascii="宋体" w:hAnsi="宋体" w:eastAsia="宋体" w:cs="宋体"/>
          <w:sz w:val="24"/>
          <w:szCs w:val="24"/>
        </w:rPr>
      </w:pPr>
    </w:p>
    <w:p>
      <w:pPr>
        <w:pageBreakBefore w:val="0"/>
        <w:kinsoku/>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pStyle w:val="5"/>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供应商法人代表或授权代表人（承诺人）签字：</w:t>
      </w:r>
    </w:p>
    <w:p>
      <w:pPr>
        <w:pageBreakBefore w:val="0"/>
        <w:kinsoku/>
        <w:wordWrap/>
        <w:overflowPunct/>
        <w:topLinePunct w:val="0"/>
        <w:bidi w:val="0"/>
        <w:spacing w:line="360" w:lineRule="auto"/>
        <w:ind w:firstLine="6000" w:firstLineChars="2500"/>
        <w:rPr>
          <w:rFonts w:hint="eastAsia" w:ascii="宋体" w:hAnsi="宋体" w:eastAsia="宋体" w:cs="宋体"/>
          <w:sz w:val="24"/>
          <w:szCs w:val="24"/>
        </w:rPr>
      </w:pPr>
      <w:r>
        <w:rPr>
          <w:rFonts w:hint="eastAsia" w:ascii="宋体" w:hAnsi="宋体" w:eastAsia="宋体" w:cs="宋体"/>
          <w:sz w:val="24"/>
          <w:szCs w:val="24"/>
        </w:rPr>
        <w:t>年   月   日</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7"/>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b/>
          <w:bCs/>
          <w:sz w:val="24"/>
          <w:szCs w:val="24"/>
          <w:highlight w:val="none"/>
          <w:shd w:val="clear" w:color="auto" w:fill="FFFFFF"/>
        </w:rPr>
      </w:pPr>
    </w:p>
    <w:p>
      <w:pPr>
        <w:pStyle w:val="7"/>
        <w:keepNext w:val="0"/>
        <w:keepLines w:val="0"/>
        <w:pageBreakBefore w:val="0"/>
        <w:widowControl/>
        <w:shd w:val="clear" w:color="auto" w:fill="FFFFFF"/>
        <w:kinsoku/>
        <w:wordWrap w:val="0"/>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highlight w:val="none"/>
          <w:lang w:val="en-US" w:eastAsia="zh-CN"/>
        </w:rPr>
      </w:pPr>
    </w:p>
    <w:p>
      <w:pPr>
        <w:pStyle w:val="3"/>
        <w:keepNext w:val="0"/>
        <w:keepLines w:val="0"/>
        <w:pageBreakBefore w:val="0"/>
        <w:widowControl/>
        <w:shd w:val="clear" w:color="auto" w:fill="FFFFFF"/>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 </w:t>
      </w:r>
    </w:p>
    <w:p>
      <w:pPr>
        <w:keepNext w:val="0"/>
        <w:keepLines w:val="0"/>
        <w:pageBreakBefore w:val="0"/>
        <w:kinsoku/>
        <w:overflowPunct/>
        <w:topLinePunct w:val="0"/>
        <w:autoSpaceDE/>
        <w:autoSpaceDN/>
        <w:bidi w:val="0"/>
        <w:spacing w:beforeAutospacing="0" w:afterAutospacing="0" w:line="360" w:lineRule="auto"/>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rFonts w:hint="eastAsia" w:ascii="微软雅黑" w:hAnsi="微软雅黑" w:eastAsia="微软雅黑" w:cs="微软雅黑"/>
          <w:sz w:val="24"/>
          <w:szCs w:val="24"/>
          <w:highlight w:val="none"/>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22EA"/>
    <w:multiLevelType w:val="multilevel"/>
    <w:tmpl w:val="188A22E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2">
    <w:nsid w:val="53286C7C"/>
    <w:multiLevelType w:val="multilevel"/>
    <w:tmpl w:val="53286C7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744B4"/>
    <w:rsid w:val="28B7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eastAsia="宋体"/>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2023-11-14T07:08:00Z</dcterms:created>
  <dc:creator>Administrator</dc:creator>
  <cp:lastModifiedBy>Administrator</cp:lastModifiedBy>
  <dcterms:modified xsi:type="dcterms:W3CDTF">2023-11-14T07:08:39Z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