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附件1：采购项目配置需求</w:t>
      </w:r>
    </w:p>
    <w:p>
      <w:pPr>
        <w:widowControl/>
        <w:shd w:val="clear" w:color="auto"/>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1.产品名称：中医诊疗相关耗材</w:t>
      </w:r>
    </w:p>
    <w:p>
      <w:pPr>
        <w:widowControl/>
        <w:shd w:val="clear" w:color="auto"/>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2.数量：详见产品预计年采购数量;</w:t>
      </w:r>
    </w:p>
    <w:p>
      <w:pPr>
        <w:widowControl/>
        <w:shd w:val="clear" w:color="auto"/>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3.用途：临床使用;</w:t>
      </w:r>
    </w:p>
    <w:p>
      <w:pPr>
        <w:widowControl/>
        <w:shd w:val="clear" w:color="auto"/>
        <w:wordWrap w:val="0"/>
        <w:spacing w:line="500" w:lineRule="exact"/>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4.技术参数要求：</w:t>
      </w:r>
    </w:p>
    <w:tbl>
      <w:tblPr>
        <w:tblStyle w:val="9"/>
        <w:tblW w:w="55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592"/>
        <w:gridCol w:w="1247"/>
        <w:gridCol w:w="1247"/>
        <w:gridCol w:w="1402"/>
        <w:gridCol w:w="5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4" w:type="pct"/>
            <w:vMerge w:val="restart"/>
            <w:noWrap w:val="0"/>
            <w:vAlign w:val="center"/>
          </w:tcPr>
          <w:p>
            <w:pPr>
              <w:shd w:val="clea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hd w:val="clea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65" w:type="pct"/>
            <w:noWrap w:val="0"/>
            <w:vAlign w:val="center"/>
          </w:tcPr>
          <w:p>
            <w:pPr>
              <w:shd w:val="clear"/>
              <w:autoSpaceDE w:val="0"/>
              <w:autoSpaceDN w:val="0"/>
              <w:jc w:val="center"/>
              <w:rPr>
                <w:rFonts w:ascii="宋体" w:hAnsi="宋体"/>
                <w:b/>
                <w:sz w:val="18"/>
                <w:szCs w:val="18"/>
              </w:rPr>
            </w:pPr>
            <w:r>
              <w:rPr>
                <w:rFonts w:hint="eastAsia" w:ascii="宋体" w:hAnsi="宋体"/>
                <w:b/>
                <w:sz w:val="18"/>
                <w:szCs w:val="18"/>
              </w:rPr>
              <w:t>序号</w:t>
            </w:r>
          </w:p>
        </w:tc>
        <w:tc>
          <w:tcPr>
            <w:tcW w:w="560" w:type="pct"/>
            <w:noWrap w:val="0"/>
            <w:vAlign w:val="center"/>
          </w:tcPr>
          <w:p>
            <w:pPr>
              <w:shd w:val="clear"/>
              <w:autoSpaceDE w:val="0"/>
              <w:autoSpaceDN w:val="0"/>
              <w:jc w:val="center"/>
              <w:rPr>
                <w:rFonts w:ascii="宋体" w:hAnsi="宋体"/>
                <w:b/>
                <w:sz w:val="18"/>
                <w:szCs w:val="18"/>
              </w:rPr>
            </w:pPr>
            <w:r>
              <w:rPr>
                <w:rFonts w:ascii="宋体" w:hAnsi="宋体"/>
                <w:b/>
                <w:sz w:val="18"/>
                <w:szCs w:val="18"/>
              </w:rPr>
              <w:t>产品名称</w:t>
            </w:r>
          </w:p>
        </w:tc>
        <w:tc>
          <w:tcPr>
            <w:tcW w:w="560" w:type="pct"/>
            <w:noWrap w:val="0"/>
            <w:vAlign w:val="center"/>
          </w:tcPr>
          <w:p>
            <w:pPr>
              <w:shd w:val="clea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629" w:type="pct"/>
            <w:noWrap w:val="0"/>
            <w:vAlign w:val="center"/>
          </w:tcPr>
          <w:p>
            <w:pPr>
              <w:shd w:val="clea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shd w:val="clea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558" w:type="pct"/>
            <w:noWrap w:val="0"/>
            <w:vAlign w:val="center"/>
          </w:tcPr>
          <w:p>
            <w:pPr>
              <w:shd w:val="clea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424" w:type="pct"/>
            <w:vMerge w:val="continue"/>
            <w:noWrap w:val="0"/>
            <w:vAlign w:val="center"/>
          </w:tcPr>
          <w:p>
            <w:pPr>
              <w:shd w:val="clear"/>
              <w:spacing w:line="420" w:lineRule="exact"/>
              <w:jc w:val="center"/>
              <w:rPr>
                <w:rFonts w:hint="eastAsia" w:cs="宋体"/>
                <w:color w:val="000000"/>
                <w:kern w:val="0"/>
              </w:rPr>
            </w:pPr>
          </w:p>
        </w:tc>
        <w:tc>
          <w:tcPr>
            <w:tcW w:w="265" w:type="pct"/>
            <w:noWrap w:val="0"/>
            <w:vAlign w:val="center"/>
          </w:tcPr>
          <w:p>
            <w:pPr>
              <w:shd w:val="clea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560" w:type="pct"/>
            <w:noWrap w:val="0"/>
            <w:vAlign w:val="center"/>
          </w:tcPr>
          <w:p>
            <w:pPr>
              <w:widowControl/>
              <w:shd w:val="clea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一次性埋线针</w:t>
            </w:r>
          </w:p>
        </w:tc>
        <w:tc>
          <w:tcPr>
            <w:tcW w:w="560"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10元</w:t>
            </w:r>
          </w:p>
        </w:tc>
        <w:tc>
          <w:tcPr>
            <w:tcW w:w="629"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3000支</w:t>
            </w:r>
          </w:p>
        </w:tc>
        <w:tc>
          <w:tcPr>
            <w:tcW w:w="2558" w:type="pct"/>
            <w:noWrap w:val="0"/>
            <w:vAlign w:val="top"/>
          </w:tcPr>
          <w:p>
            <w:pPr>
              <w:widowControl/>
              <w:shd w:val="clear"/>
              <w:jc w:val="both"/>
              <w:textAlignment w:val="center"/>
              <w:rPr>
                <w:rFonts w:hint="eastAsia" w:ascii="宋体" w:hAnsi="宋体" w:eastAsia="宋体" w:cs="宋体"/>
                <w:kern w:val="2"/>
                <w:sz w:val="21"/>
                <w:szCs w:val="21"/>
                <w:lang w:val="en-US" w:eastAsia="zh-CN" w:bidi="ar-SA"/>
              </w:rPr>
            </w:pPr>
            <w:r>
              <w:rPr>
                <w:rFonts w:hint="eastAsia" w:ascii="Times New Roman" w:hAnsi="Times New Roman" w:eastAsia="宋体" w:cs="Times New Roman"/>
              </w:rPr>
              <w:t>▲</w:t>
            </w:r>
            <w:r>
              <w:rPr>
                <w:rFonts w:hint="eastAsia" w:ascii="宋体" w:hAnsi="宋体" w:eastAsia="宋体" w:cs="宋体"/>
                <w:kern w:val="2"/>
                <w:sz w:val="21"/>
                <w:szCs w:val="21"/>
                <w:lang w:val="en-US" w:eastAsia="zh-CN" w:bidi="ar-SA"/>
              </w:rPr>
              <w:t>用途：用于穴位穿刺埋线；</w:t>
            </w:r>
          </w:p>
          <w:p>
            <w:pPr>
              <w:widowControl/>
              <w:numPr>
                <w:ilvl w:val="0"/>
                <w:numId w:val="1"/>
              </w:numPr>
              <w:shd w:val="clear"/>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结构：至少应含针座、针管、保护套；</w:t>
            </w:r>
          </w:p>
          <w:p>
            <w:pPr>
              <w:widowControl/>
              <w:numPr>
                <w:ilvl w:val="0"/>
                <w:numId w:val="1"/>
              </w:numPr>
              <w:shd w:val="clear"/>
              <w:ind w:left="0" w:leftChars="0" w:firstLine="0" w:firstLineChars="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材质：针管材质采用符合 GB/T 18457-2015 的不锈钢；</w:t>
            </w:r>
          </w:p>
          <w:p>
            <w:pPr>
              <w:widowControl/>
              <w:numPr>
                <w:ilvl w:val="0"/>
                <w:numId w:val="1"/>
              </w:numPr>
              <w:shd w:val="clear"/>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规格：至少可提供7#埋针；</w:t>
            </w:r>
          </w:p>
          <w:p>
            <w:pPr>
              <w:widowControl/>
              <w:numPr>
                <w:ilvl w:val="0"/>
                <w:numId w:val="1"/>
              </w:numPr>
              <w:shd w:val="clear"/>
              <w:ind w:left="0" w:leftChars="0" w:firstLine="0" w:firstLineChars="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针管长度：可满足满足50-60mm长度；</w:t>
            </w:r>
          </w:p>
          <w:p>
            <w:pPr>
              <w:widowControl/>
              <w:numPr>
                <w:ilvl w:val="0"/>
                <w:numId w:val="1"/>
              </w:numPr>
              <w:shd w:val="clear"/>
              <w:ind w:left="0" w:leftChars="0" w:firstLine="0" w:firstLineChars="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灭菌包装；</w:t>
            </w:r>
          </w:p>
          <w:p>
            <w:pPr>
              <w:widowControl/>
              <w:numPr>
                <w:ilvl w:val="0"/>
                <w:numId w:val="1"/>
              </w:numPr>
              <w:shd w:val="clear"/>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出厂有效期≥12个月；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24" w:type="pct"/>
            <w:vMerge w:val="continue"/>
            <w:noWrap w:val="0"/>
            <w:vAlign w:val="center"/>
          </w:tcPr>
          <w:p>
            <w:pPr>
              <w:shd w:val="clear"/>
              <w:spacing w:line="420" w:lineRule="exact"/>
              <w:jc w:val="center"/>
              <w:rPr>
                <w:rFonts w:hint="eastAsia" w:cs="宋体"/>
                <w:color w:val="000000"/>
                <w:kern w:val="0"/>
              </w:rPr>
            </w:pPr>
          </w:p>
        </w:tc>
        <w:tc>
          <w:tcPr>
            <w:tcW w:w="265" w:type="pct"/>
            <w:noWrap w:val="0"/>
            <w:vAlign w:val="center"/>
          </w:tcPr>
          <w:p>
            <w:pPr>
              <w:shd w:val="clea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560"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透气胶带</w:t>
            </w:r>
          </w:p>
        </w:tc>
        <w:tc>
          <w:tcPr>
            <w:tcW w:w="560"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0.8元</w:t>
            </w:r>
          </w:p>
        </w:tc>
        <w:tc>
          <w:tcPr>
            <w:tcW w:w="629"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10000张</w:t>
            </w:r>
          </w:p>
        </w:tc>
        <w:tc>
          <w:tcPr>
            <w:tcW w:w="2558" w:type="pct"/>
            <w:noWrap w:val="0"/>
            <w:vAlign w:val="top"/>
          </w:tcPr>
          <w:p>
            <w:pPr>
              <w:widowControl/>
              <w:numPr>
                <w:ilvl w:val="0"/>
                <w:numId w:val="0"/>
              </w:numPr>
              <w:shd w:val="clear"/>
              <w:jc w:val="both"/>
              <w:textAlignment w:val="center"/>
              <w:rPr>
                <w:rFonts w:hint="eastAsia"/>
                <w:lang w:val="en-US" w:eastAsia="zh-CN"/>
              </w:rPr>
            </w:pPr>
            <w:r>
              <w:rPr>
                <w:rFonts w:hint="eastAsia" w:ascii="Times New Roman" w:hAnsi="Times New Roman" w:eastAsia="宋体" w:cs="Times New Roman"/>
              </w:rPr>
              <w:t>▲</w:t>
            </w:r>
            <w:r>
              <w:rPr>
                <w:rFonts w:hint="eastAsia"/>
                <w:lang w:val="en-US" w:eastAsia="zh-CN"/>
              </w:rPr>
              <w:t>用途：用于穴位贴敷；</w:t>
            </w:r>
          </w:p>
          <w:p>
            <w:pPr>
              <w:widowControl/>
              <w:numPr>
                <w:ilvl w:val="0"/>
                <w:numId w:val="2"/>
              </w:numPr>
              <w:shd w:val="clear"/>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至少能提供无纺布材质；</w:t>
            </w:r>
          </w:p>
          <w:p>
            <w:pPr>
              <w:widowControl/>
              <w:numPr>
                <w:ilvl w:val="0"/>
                <w:numId w:val="2"/>
              </w:numPr>
              <w:shd w:val="clear"/>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至少可提供6*6cm规格；</w:t>
            </w:r>
          </w:p>
          <w:p>
            <w:pPr>
              <w:widowControl/>
              <w:numPr>
                <w:ilvl w:val="0"/>
                <w:numId w:val="2"/>
              </w:numPr>
              <w:shd w:val="clear"/>
              <w:ind w:left="0" w:leftChars="0" w:firstLine="0" w:firstLineChars="0"/>
              <w:jc w:val="both"/>
              <w:textAlignment w:val="center"/>
              <w:rPr>
                <w:rFonts w:hint="default"/>
                <w:lang w:val="en-US" w:eastAsia="zh-CN"/>
              </w:rPr>
            </w:pPr>
            <w:r>
              <w:rPr>
                <w:rFonts w:hint="eastAsia" w:ascii="宋体" w:hAnsi="宋体" w:eastAsia="宋体" w:cs="宋体"/>
                <w:kern w:val="2"/>
                <w:sz w:val="21"/>
                <w:szCs w:val="21"/>
                <w:lang w:val="en-US" w:eastAsia="zh-CN" w:bidi="ar-SA"/>
              </w:rPr>
              <w:t>内圈2cm。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424" w:type="pct"/>
            <w:vMerge w:val="continue"/>
            <w:noWrap w:val="0"/>
            <w:vAlign w:val="center"/>
          </w:tcPr>
          <w:p>
            <w:pPr>
              <w:shd w:val="clear"/>
              <w:spacing w:line="420" w:lineRule="exact"/>
              <w:jc w:val="center"/>
              <w:rPr>
                <w:rFonts w:hint="eastAsia" w:cs="宋体"/>
                <w:color w:val="000000"/>
                <w:kern w:val="0"/>
              </w:rPr>
            </w:pPr>
          </w:p>
        </w:tc>
        <w:tc>
          <w:tcPr>
            <w:tcW w:w="265" w:type="pct"/>
            <w:noWrap w:val="0"/>
            <w:vAlign w:val="center"/>
          </w:tcPr>
          <w:p>
            <w:pPr>
              <w:shd w:val="clea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560"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埋针线</w:t>
            </w:r>
          </w:p>
        </w:tc>
        <w:tc>
          <w:tcPr>
            <w:tcW w:w="560"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14元</w:t>
            </w:r>
          </w:p>
        </w:tc>
        <w:tc>
          <w:tcPr>
            <w:tcW w:w="629"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3000根</w:t>
            </w:r>
          </w:p>
        </w:tc>
        <w:tc>
          <w:tcPr>
            <w:tcW w:w="2558" w:type="pct"/>
            <w:noWrap w:val="0"/>
            <w:vAlign w:val="top"/>
          </w:tcPr>
          <w:p>
            <w:pPr>
              <w:widowControl/>
              <w:numPr>
                <w:ilvl w:val="0"/>
                <w:numId w:val="0"/>
              </w:numPr>
              <w:shd w:val="clear"/>
              <w:jc w:val="both"/>
              <w:textAlignment w:val="center"/>
            </w:pPr>
            <w:r>
              <w:rPr>
                <w:rFonts w:hint="eastAsia" w:ascii="Times New Roman" w:hAnsi="Times New Roman" w:eastAsia="宋体" w:cs="Times New Roman"/>
              </w:rPr>
              <w:t>▲</w:t>
            </w:r>
            <w:r>
              <w:rPr>
                <w:rFonts w:hint="eastAsia" w:cs="Times New Roman"/>
                <w:lang w:val="en-US" w:eastAsia="zh-CN"/>
              </w:rPr>
              <w:t>用途：</w:t>
            </w:r>
            <w:r>
              <w:rPr>
                <w:rFonts w:hint="eastAsia"/>
                <w:lang w:val="en-US" w:eastAsia="zh-CN"/>
              </w:rPr>
              <w:t>用于人体穴位埋线治疗；</w:t>
            </w:r>
          </w:p>
          <w:p>
            <w:pPr>
              <w:widowControl/>
              <w:numPr>
                <w:ilvl w:val="0"/>
                <w:numId w:val="3"/>
              </w:numPr>
              <w:shd w:val="clear"/>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具有可吸收性，材质符合</w:t>
            </w:r>
            <w:r>
              <w:rPr>
                <w:rFonts w:hint="eastAsia" w:ascii="宋体" w:hAnsi="宋体" w:cs="宋体"/>
                <w:kern w:val="2"/>
                <w:sz w:val="21"/>
                <w:szCs w:val="21"/>
                <w:lang w:val="en-US" w:eastAsia="zh-CN" w:bidi="ar-SA"/>
              </w:rPr>
              <w:t>YY1116-2020</w:t>
            </w:r>
            <w:r>
              <w:rPr>
                <w:rFonts w:hint="eastAsia" w:ascii="宋体" w:hAnsi="宋体" w:eastAsia="宋体" w:cs="宋体"/>
                <w:kern w:val="2"/>
                <w:sz w:val="21"/>
                <w:szCs w:val="21"/>
                <w:lang w:val="en-US" w:eastAsia="zh-CN" w:bidi="ar-SA"/>
              </w:rPr>
              <w:t>标准</w:t>
            </w:r>
            <w:r>
              <w:rPr>
                <w:rFonts w:hint="eastAsia" w:ascii="宋体" w:hAnsi="宋体" w:cs="宋体"/>
                <w:kern w:val="2"/>
                <w:sz w:val="21"/>
                <w:szCs w:val="21"/>
                <w:lang w:val="en-US" w:eastAsia="zh-CN" w:bidi="ar-SA"/>
              </w:rPr>
              <w:t>；</w:t>
            </w:r>
          </w:p>
          <w:p>
            <w:pPr>
              <w:widowControl/>
              <w:numPr>
                <w:ilvl w:val="0"/>
                <w:numId w:val="3"/>
              </w:numPr>
              <w:shd w:val="clear"/>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不带针</w:t>
            </w:r>
            <w:r>
              <w:rPr>
                <w:rFonts w:hint="eastAsia" w:ascii="宋体" w:hAnsi="宋体" w:cs="宋体"/>
                <w:kern w:val="2"/>
                <w:sz w:val="21"/>
                <w:szCs w:val="21"/>
                <w:lang w:val="en-US" w:eastAsia="zh-CN" w:bidi="ar-SA"/>
              </w:rPr>
              <w:t>；</w:t>
            </w:r>
          </w:p>
          <w:p>
            <w:pPr>
              <w:widowControl/>
              <w:numPr>
                <w:ilvl w:val="0"/>
                <w:numId w:val="3"/>
              </w:numPr>
              <w:shd w:val="clear"/>
              <w:ind w:left="0" w:leftChars="0" w:firstLine="0" w:firstLineChars="0"/>
              <w:jc w:val="both"/>
              <w:textAlignment w:val="center"/>
              <w:rPr>
                <w:rFonts w:hint="default"/>
                <w:lang w:val="en-US" w:eastAsia="zh-CN"/>
              </w:rPr>
            </w:pPr>
            <w:r>
              <w:rPr>
                <w:rFonts w:hint="eastAsia" w:ascii="宋体" w:hAnsi="宋体" w:eastAsia="宋体" w:cs="宋体"/>
                <w:kern w:val="2"/>
                <w:sz w:val="21"/>
                <w:szCs w:val="21"/>
                <w:lang w:val="en-US" w:eastAsia="zh-CN" w:bidi="ar-SA"/>
              </w:rPr>
              <w:t>至少提供4-0规格,每根线长1cm或2cm</w:t>
            </w:r>
            <w:r>
              <w:rPr>
                <w:rFonts w:hint="eastAsia" w:ascii="宋体" w:hAnsi="宋体" w:cs="宋体"/>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24" w:type="pct"/>
            <w:vMerge w:val="continue"/>
            <w:noWrap w:val="0"/>
            <w:vAlign w:val="center"/>
          </w:tcPr>
          <w:p>
            <w:pPr>
              <w:shd w:val="clear"/>
              <w:spacing w:line="420" w:lineRule="exact"/>
              <w:jc w:val="center"/>
              <w:rPr>
                <w:rFonts w:hint="eastAsia" w:cs="宋体"/>
                <w:color w:val="000000"/>
                <w:kern w:val="0"/>
              </w:rPr>
            </w:pPr>
          </w:p>
        </w:tc>
        <w:tc>
          <w:tcPr>
            <w:tcW w:w="265" w:type="pct"/>
            <w:noWrap w:val="0"/>
            <w:vAlign w:val="center"/>
          </w:tcPr>
          <w:p>
            <w:pPr>
              <w:shd w:val="clea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560"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艾绒</w:t>
            </w:r>
          </w:p>
        </w:tc>
        <w:tc>
          <w:tcPr>
            <w:tcW w:w="560"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0.1元</w:t>
            </w:r>
          </w:p>
        </w:tc>
        <w:tc>
          <w:tcPr>
            <w:tcW w:w="629"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10000克</w:t>
            </w:r>
          </w:p>
        </w:tc>
        <w:tc>
          <w:tcPr>
            <w:tcW w:w="2558" w:type="pct"/>
            <w:noWrap w:val="0"/>
            <w:vAlign w:val="center"/>
          </w:tcPr>
          <w:p>
            <w:pPr>
              <w:widowControl/>
              <w:shd w:val="clear"/>
              <w:jc w:val="both"/>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lang w:val="en-US" w:eastAsia="zh-CN"/>
              </w:rPr>
              <w:t>含杂质少，有艾香，不潮湿.。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24" w:type="pct"/>
            <w:vMerge w:val="continue"/>
            <w:noWrap w:val="0"/>
            <w:vAlign w:val="center"/>
          </w:tcPr>
          <w:p>
            <w:pPr>
              <w:shd w:val="clear"/>
              <w:spacing w:line="420" w:lineRule="exact"/>
              <w:jc w:val="center"/>
              <w:rPr>
                <w:rFonts w:hint="eastAsia" w:cs="宋体"/>
                <w:color w:val="000000"/>
                <w:kern w:val="0"/>
              </w:rPr>
            </w:pPr>
          </w:p>
        </w:tc>
        <w:tc>
          <w:tcPr>
            <w:tcW w:w="265" w:type="pct"/>
            <w:noWrap w:val="0"/>
            <w:vAlign w:val="center"/>
          </w:tcPr>
          <w:p>
            <w:pPr>
              <w:shd w:val="clea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560"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艾灸条（艾柱）</w:t>
            </w:r>
          </w:p>
        </w:tc>
        <w:tc>
          <w:tcPr>
            <w:tcW w:w="560"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2.8元</w:t>
            </w:r>
          </w:p>
        </w:tc>
        <w:tc>
          <w:tcPr>
            <w:tcW w:w="629" w:type="pct"/>
            <w:noWrap w:val="0"/>
            <w:vAlign w:val="center"/>
          </w:tcPr>
          <w:p>
            <w:pPr>
              <w:widowControl/>
              <w:shd w:val="clea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1000支</w:t>
            </w:r>
          </w:p>
        </w:tc>
        <w:tc>
          <w:tcPr>
            <w:tcW w:w="2558" w:type="pct"/>
            <w:noWrap w:val="0"/>
            <w:vAlign w:val="center"/>
          </w:tcPr>
          <w:p>
            <w:pPr>
              <w:widowControl/>
              <w:numPr>
                <w:ilvl w:val="0"/>
                <w:numId w:val="4"/>
              </w:numPr>
              <w:shd w:val="clear"/>
              <w:jc w:val="both"/>
              <w:textAlignment w:val="center"/>
              <w:rPr>
                <w:rFonts w:hint="default"/>
                <w:lang w:val="en-US" w:eastAsia="zh-CN"/>
              </w:rPr>
            </w:pPr>
            <w:r>
              <w:rPr>
                <w:rFonts w:hint="eastAsia"/>
                <w:lang w:val="en-US" w:eastAsia="zh-CN"/>
              </w:rPr>
              <w:t>材质是纯艾叶。</w:t>
            </w:r>
          </w:p>
        </w:tc>
      </w:tr>
    </w:tbl>
    <w:p>
      <w:pPr>
        <w:widowControl/>
        <w:shd w:val="clear" w:color="auto"/>
        <w:wordWrap w:val="0"/>
        <w:spacing w:line="360" w:lineRule="auto"/>
        <w:jc w:val="left"/>
        <w:rPr>
          <w:rFonts w:ascii="仿宋_GB2312" w:hAnsi="Segoe UI" w:eastAsia="仿宋_GB2312" w:cs="Segoe UI"/>
          <w:b/>
          <w:bCs/>
          <w:color w:val="333333"/>
          <w:spacing w:val="8"/>
          <w:kern w:val="0"/>
          <w:sz w:val="24"/>
          <w:szCs w:val="24"/>
        </w:rPr>
      </w:pPr>
      <w:r>
        <w:rPr>
          <w:rFonts w:hint="eastAsia" w:ascii="仿宋_GB2312" w:hAnsi="Segoe UI" w:eastAsia="仿宋_GB2312" w:cs="Segoe UI"/>
          <w:b/>
          <w:bCs/>
          <w:color w:val="333333"/>
          <w:spacing w:val="8"/>
          <w:kern w:val="0"/>
          <w:sz w:val="24"/>
          <w:szCs w:val="24"/>
        </w:rPr>
        <w:t>注：产品年度预估用量，仅作为报价评审依据。最终可根据实际需求进行相应调整，结算以实际发生量乘以供应商投标单价结算。</w:t>
      </w:r>
    </w:p>
    <w:p>
      <w:pPr>
        <w:widowControl/>
        <w:shd w:val="clear" w:color="auto"/>
        <w:wordWrap w:val="0"/>
        <w:spacing w:line="500" w:lineRule="exact"/>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5.商务要求：</w:t>
      </w:r>
    </w:p>
    <w:p>
      <w:pPr>
        <w:widowControl/>
        <w:shd w:val="clear" w:color="auto"/>
        <w:wordWrap w:val="0"/>
        <w:spacing w:line="500" w:lineRule="exact"/>
        <w:jc w:val="left"/>
        <w:rPr>
          <w:rFonts w:hint="eastAsia" w:ascii="仿宋" w:hAnsi="仿宋" w:eastAsia="仿宋" w:cs="Segoe UI"/>
          <w:color w:val="000000" w:themeColor="text1"/>
          <w:spacing w:val="8"/>
          <w:kern w:val="0"/>
          <w:sz w:val="24"/>
          <w:szCs w:val="24"/>
          <w:lang w:eastAsia="zh-CN"/>
        </w:rPr>
      </w:pPr>
      <w:r>
        <w:rPr>
          <w:rFonts w:hint="eastAsia" w:ascii="仿宋" w:hAnsi="仿宋" w:eastAsia="仿宋" w:cs="Segoe UI"/>
          <w:color w:val="000000" w:themeColor="text1"/>
          <w:spacing w:val="8"/>
          <w:kern w:val="0"/>
          <w:sz w:val="24"/>
          <w:szCs w:val="24"/>
        </w:rPr>
        <w:t>▲1.供应商投标产品</w:t>
      </w:r>
      <w:r>
        <w:rPr>
          <w:rFonts w:hint="eastAsia" w:ascii="仿宋" w:hAnsi="仿宋" w:eastAsia="仿宋" w:cs="Segoe UI"/>
          <w:color w:val="000000" w:themeColor="text1"/>
          <w:spacing w:val="8"/>
          <w:kern w:val="0"/>
          <w:sz w:val="24"/>
          <w:szCs w:val="24"/>
          <w:lang w:eastAsia="zh-CN"/>
        </w:rPr>
        <w:t>若为Ⅱ、Ⅲ类医疗器械，则</w:t>
      </w:r>
      <w:r>
        <w:rPr>
          <w:rFonts w:hint="eastAsia" w:ascii="仿宋" w:hAnsi="仿宋" w:eastAsia="仿宋" w:cs="Segoe UI"/>
          <w:color w:val="000000" w:themeColor="text1"/>
          <w:spacing w:val="8"/>
          <w:kern w:val="0"/>
          <w:sz w:val="24"/>
          <w:szCs w:val="24"/>
        </w:rPr>
        <w:t>必须为四川省药械集中采购及医药价格监管平台挂网公示产品,并提供挂网商品代码（已经挂网的需要提供集采平台挂网截图）</w:t>
      </w:r>
      <w:r>
        <w:rPr>
          <w:rFonts w:hint="eastAsia" w:ascii="仿宋" w:hAnsi="仿宋" w:eastAsia="仿宋" w:cs="Segoe UI"/>
          <w:color w:val="000000" w:themeColor="text1"/>
          <w:spacing w:val="8"/>
          <w:kern w:val="0"/>
          <w:sz w:val="24"/>
          <w:szCs w:val="24"/>
          <w:lang w:eastAsia="zh-CN"/>
        </w:rPr>
        <w:t>。</w:t>
      </w:r>
    </w:p>
    <w:p>
      <w:pPr>
        <w:widowControl/>
        <w:shd w:val="clear" w:color="auto"/>
        <w:wordWrap w:val="0"/>
        <w:spacing w:line="500" w:lineRule="exact"/>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w:t>
      </w:r>
      <w:r>
        <w:rPr>
          <w:rFonts w:hint="eastAsia" w:ascii="仿宋" w:hAnsi="仿宋" w:eastAsia="仿宋" w:cs="Segoe UI"/>
          <w:color w:val="000000" w:themeColor="text1"/>
          <w:spacing w:val="8"/>
          <w:kern w:val="0"/>
          <w:sz w:val="24"/>
          <w:szCs w:val="24"/>
          <w:lang w:val="en-US" w:eastAsia="zh-CN"/>
        </w:rPr>
        <w:t>2</w:t>
      </w:r>
      <w:r>
        <w:rPr>
          <w:rFonts w:hint="eastAsia" w:ascii="仿宋" w:hAnsi="仿宋" w:eastAsia="仿宋" w:cs="Segoe UI"/>
          <w:color w:val="000000" w:themeColor="text1"/>
          <w:spacing w:val="8"/>
          <w:kern w:val="0"/>
          <w:sz w:val="24"/>
          <w:szCs w:val="24"/>
        </w:rPr>
        <w:t>.供货期限：3年，采购数量以实际使用量为准。</w:t>
      </w:r>
    </w:p>
    <w:p>
      <w:pPr>
        <w:widowControl/>
        <w:shd w:val="clear" w:color="auto"/>
        <w:wordWrap w:val="0"/>
        <w:spacing w:line="500" w:lineRule="exact"/>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w:t>
      </w:r>
      <w:r>
        <w:rPr>
          <w:rFonts w:hint="eastAsia" w:ascii="仿宋" w:hAnsi="仿宋" w:eastAsia="仿宋" w:cs="Segoe UI"/>
          <w:color w:val="000000" w:themeColor="text1"/>
          <w:spacing w:val="8"/>
          <w:kern w:val="0"/>
          <w:sz w:val="24"/>
          <w:szCs w:val="24"/>
          <w:lang w:val="en-US" w:eastAsia="zh-CN"/>
        </w:rPr>
        <w:t>3</w:t>
      </w:r>
      <w:r>
        <w:rPr>
          <w:rFonts w:hint="eastAsia" w:ascii="仿宋" w:hAnsi="仿宋" w:eastAsia="仿宋" w:cs="Segoe UI"/>
          <w:color w:val="000000" w:themeColor="text1"/>
          <w:spacing w:val="8"/>
          <w:kern w:val="0"/>
          <w:sz w:val="24"/>
          <w:szCs w:val="24"/>
        </w:rPr>
        <w:t>.合同结算：本项目的“预估</w:t>
      </w:r>
      <w:r>
        <w:rPr>
          <w:rFonts w:hint="eastAsia" w:ascii="仿宋" w:hAnsi="仿宋" w:eastAsia="仿宋" w:cs="Segoe UI"/>
          <w:color w:val="000000" w:themeColor="text1"/>
          <w:spacing w:val="8"/>
          <w:kern w:val="0"/>
          <w:sz w:val="24"/>
          <w:szCs w:val="24"/>
          <w:lang w:val="en-US" w:eastAsia="zh-CN"/>
        </w:rPr>
        <w:t>年度用</w:t>
      </w:r>
      <w:r>
        <w:rPr>
          <w:rFonts w:hint="eastAsia" w:ascii="仿宋" w:hAnsi="仿宋" w:eastAsia="仿宋" w:cs="Segoe UI"/>
          <w:color w:val="000000" w:themeColor="text1"/>
          <w:spacing w:val="8"/>
          <w:kern w:val="0"/>
          <w:sz w:val="24"/>
          <w:szCs w:val="24"/>
        </w:rPr>
        <w:t>量”、 供应商的“投标总价”仅做为报价评审依据，最终根据实际需求进行相应调整，结算以实际发生量乘以供应商投标单价结算，且不超过每年的预算总价。</w:t>
      </w:r>
    </w:p>
    <w:p>
      <w:pPr>
        <w:widowControl/>
        <w:shd w:val="clear" w:color="auto"/>
        <w:wordWrap w:val="0"/>
        <w:spacing w:line="500" w:lineRule="exact"/>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备注: 以上打▲号的条款为本次招标项目的实质性要求，不允许有负偏离。</w:t>
      </w:r>
      <w:r>
        <w:rPr>
          <w:rFonts w:hint="eastAsia" w:ascii="仿宋" w:hAnsi="仿宋" w:eastAsia="仿宋" w:cs="Segoe UI"/>
          <w:color w:val="000000" w:themeColor="text1"/>
          <w:spacing w:val="8"/>
          <w:kern w:val="0"/>
          <w:sz w:val="24"/>
          <w:szCs w:val="24"/>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3、品目及报价表（格式见附件4）</w:t>
      </w:r>
    </w:p>
    <w:p>
      <w:pPr>
        <w:widowControl/>
        <w:shd w:val="clear" w:color="auto"/>
        <w:wordWrap w:val="0"/>
        <w:ind w:firstLine="512"/>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4、规格型号、配置及偏离表（格式见附件4）</w:t>
      </w:r>
    </w:p>
    <w:p>
      <w:pPr>
        <w:widowControl/>
        <w:shd w:val="clear" w:color="auto"/>
        <w:wordWrap w:val="0"/>
        <w:ind w:firstLine="512"/>
        <w:jc w:val="left"/>
        <w:rPr>
          <w:rFonts w:hint="eastAsia" w:ascii="仿宋_GB2312" w:hAnsi="Segoe UI" w:eastAsia="仿宋_GB2312" w:cs="Segoe UI"/>
          <w:spacing w:val="8"/>
          <w:kern w:val="0"/>
          <w:sz w:val="24"/>
          <w:szCs w:val="24"/>
        </w:rPr>
      </w:pPr>
      <w:r>
        <w:rPr>
          <w:rFonts w:hint="eastAsia" w:ascii="仿宋_GB2312" w:hAnsi="Segoe UI" w:eastAsia="仿宋_GB2312" w:cs="Segoe UI"/>
          <w:spacing w:val="8"/>
          <w:kern w:val="0"/>
          <w:sz w:val="24"/>
          <w:szCs w:val="24"/>
        </w:rPr>
        <w:t>5、承诺函（格式见附件4）</w:t>
      </w:r>
    </w:p>
    <w:p>
      <w:pPr>
        <w:widowControl/>
        <w:shd w:val="clear" w:color="auto"/>
        <w:wordWrap w:val="0"/>
        <w:ind w:firstLine="512"/>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6、企业营业执照（复印件）</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9、生产厂家授权书（投标人不是生产厂家的）</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11、如是医疗器械，须提供“医疗器械产品注册证和注册登记表”（复印件）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16、产品质量及货源保证书</w:t>
      </w:r>
    </w:p>
    <w:p>
      <w:pPr>
        <w:widowControl/>
        <w:shd w:val="clear" w:color="auto"/>
        <w:wordWrap w:val="0"/>
        <w:ind w:firstLine="51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18、如有，提供进口原材料证明书或产品报关资料等</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21、如有，国家规定的其它相关资质证明文件或其它涉及特许经营许可的须提供相关证书。如：卫生许可证、药品经营许可证、生产批件或新药证书等；</w:t>
      </w:r>
    </w:p>
    <w:p>
      <w:pPr>
        <w:widowControl/>
        <w:shd w:val="clear" w:color="auto"/>
        <w:wordWrap w:val="0"/>
        <w:ind w:firstLine="48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22、社保缴纳证明；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23、</w:t>
      </w:r>
      <w:r>
        <w:rPr>
          <w:rFonts w:hint="eastAsia" w:ascii="仿宋_GB2312" w:hAnsi="Segoe UI" w:eastAsia="仿宋_GB2312" w:cs="Segoe UI"/>
          <w:color w:val="000000" w:themeColor="text1"/>
          <w:spacing w:val="8"/>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9"/>
        <w:tblW w:w="0" w:type="auto"/>
        <w:jc w:val="center"/>
        <w:tblLayout w:type="autofit"/>
        <w:tblCellMar>
          <w:top w:w="0" w:type="dxa"/>
          <w:left w:w="0" w:type="dxa"/>
          <w:bottom w:w="0" w:type="dxa"/>
          <w:right w:w="0" w:type="dxa"/>
        </w:tblCellMar>
      </w:tblPr>
      <w:tblGrid>
        <w:gridCol w:w="1358"/>
        <w:gridCol w:w="2633"/>
        <w:gridCol w:w="2485"/>
        <w:gridCol w:w="2536"/>
      </w:tblGrid>
      <w:tr>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9"/>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0" w:name="_Toc21163"/>
      <w:bookmarkStart w:id="1" w:name="_Toc3414"/>
      <w:bookmarkStart w:id="2" w:name="_Toc9234"/>
      <w:bookmarkStart w:id="3" w:name="_Toc21676"/>
      <w:bookmarkStart w:id="4" w:name="_Toc15614"/>
      <w:r>
        <w:rPr>
          <w:rFonts w:hint="eastAsia" w:ascii="仿宋" w:hAnsi="仿宋" w:eastAsia="仿宋" w:cs="仿宋"/>
          <w:w w:val="95"/>
        </w:rPr>
        <w:t>承诺函</w:t>
      </w:r>
      <w:bookmarkEnd w:id="0"/>
      <w:bookmarkEnd w:id="1"/>
      <w:bookmarkEnd w:id="2"/>
      <w:bookmarkEnd w:id="3"/>
      <w:bookmarkEnd w:id="4"/>
    </w:p>
    <w:p>
      <w:pPr>
        <w:spacing w:line="360" w:lineRule="auto"/>
        <w:outlineLvl w:val="1"/>
        <w:rPr>
          <w:rFonts w:hint="eastAsia" w:ascii="仿宋" w:hAnsi="仿宋" w:eastAsia="仿宋" w:cs="仿宋"/>
          <w:sz w:val="22"/>
        </w:rPr>
      </w:pPr>
      <w:bookmarkStart w:id="5" w:name="_Toc5208"/>
      <w:bookmarkStart w:id="6" w:name="_Toc60"/>
      <w:bookmarkStart w:id="7" w:name="_Toc5499"/>
      <w:bookmarkStart w:id="8" w:name="_Toc30494"/>
      <w:bookmarkStart w:id="9" w:name="_Toc14802"/>
      <w:bookmarkStart w:id="10" w:name="_Toc30275"/>
      <w:bookmarkStart w:id="11" w:name="_Toc12490"/>
      <w:bookmarkStart w:id="12" w:name="_Toc10689"/>
      <w:bookmarkStart w:id="13" w:name="_Toc11076"/>
      <w:r>
        <w:rPr>
          <w:rFonts w:hint="eastAsia" w:ascii="仿宋" w:hAnsi="仿宋" w:eastAsia="仿宋" w:cs="仿宋"/>
          <w:sz w:val="22"/>
        </w:rPr>
        <w:t>致：</w:t>
      </w:r>
      <w:bookmarkEnd w:id="5"/>
      <w:bookmarkEnd w:id="6"/>
      <w:bookmarkEnd w:id="7"/>
      <w:bookmarkEnd w:id="8"/>
      <w:bookmarkEnd w:id="9"/>
      <w:bookmarkEnd w:id="10"/>
      <w:bookmarkEnd w:id="11"/>
      <w:bookmarkEnd w:id="12"/>
      <w:bookmarkEnd w:id="13"/>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4" w:name="_Toc10948"/>
      <w:bookmarkStart w:id="15" w:name="_Toc7067"/>
      <w:bookmarkStart w:id="16" w:name="_Toc3081"/>
      <w:bookmarkStart w:id="17" w:name="_Toc13021"/>
      <w:bookmarkStart w:id="18" w:name="_Toc3912"/>
      <w:bookmarkStart w:id="19" w:name="_Toc28103"/>
      <w:bookmarkStart w:id="20" w:name="_Toc32214"/>
      <w:bookmarkStart w:id="21" w:name="_Toc10183"/>
      <w:bookmarkStart w:id="22" w:name="_Toc9131"/>
      <w:bookmarkStart w:id="23" w:name="_Toc26481"/>
      <w:bookmarkStart w:id="24" w:name="_Toc30724"/>
      <w:bookmarkStart w:id="25" w:name="_Toc30080"/>
      <w:bookmarkStart w:id="26" w:name="_Toc18879"/>
      <w:bookmarkStart w:id="27" w:name="_Toc8717"/>
      <w:bookmarkStart w:id="28" w:name="_Toc19115"/>
      <w:bookmarkStart w:id="29" w:name="_Toc3447"/>
      <w:bookmarkStart w:id="30" w:name="_Toc3392"/>
      <w:bookmarkStart w:id="31"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4"/>
      <w:bookmarkEnd w:id="15"/>
      <w:bookmarkEnd w:id="16"/>
      <w:bookmarkEnd w:id="17"/>
      <w:bookmarkEnd w:id="18"/>
      <w:bookmarkEnd w:id="19"/>
      <w:bookmarkEnd w:id="20"/>
      <w:bookmarkEnd w:id="21"/>
      <w:bookmarkEnd w:id="22"/>
      <w:bookmarkEnd w:id="23"/>
      <w:bookmarkEnd w:id="24"/>
    </w:p>
    <w:bookmarkEnd w:id="25"/>
    <w:bookmarkEnd w:id="26"/>
    <w:bookmarkEnd w:id="27"/>
    <w:bookmarkEnd w:id="28"/>
    <w:bookmarkEnd w:id="29"/>
    <w:bookmarkEnd w:id="30"/>
    <w:bookmarkEnd w:id="31"/>
    <w:p>
      <w:pPr>
        <w:spacing w:line="440" w:lineRule="exact"/>
        <w:ind w:firstLine="440" w:firstLineChars="200"/>
        <w:outlineLvl w:val="1"/>
        <w:rPr>
          <w:rFonts w:hint="eastAsia" w:ascii="仿宋" w:hAnsi="仿宋" w:eastAsia="仿宋" w:cs="仿宋"/>
          <w:sz w:val="22"/>
        </w:rPr>
      </w:pPr>
      <w:bookmarkStart w:id="32" w:name="_Toc15196"/>
      <w:bookmarkStart w:id="33" w:name="_Toc7249"/>
      <w:bookmarkStart w:id="34" w:name="_Toc23645"/>
      <w:bookmarkStart w:id="35" w:name="_Toc10142"/>
      <w:bookmarkStart w:id="36" w:name="_Toc30920"/>
      <w:bookmarkStart w:id="37" w:name="_Toc9042"/>
      <w:bookmarkStart w:id="38" w:name="_Toc18259"/>
      <w:bookmarkStart w:id="39" w:name="_Toc30649"/>
      <w:bookmarkStart w:id="40" w:name="_Toc22795"/>
      <w:bookmarkStart w:id="41" w:name="_Toc23557"/>
      <w:bookmarkStart w:id="42"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2"/>
      <w:bookmarkEnd w:id="33"/>
      <w:bookmarkEnd w:id="34"/>
      <w:bookmarkEnd w:id="35"/>
      <w:bookmarkEnd w:id="36"/>
      <w:bookmarkEnd w:id="37"/>
      <w:bookmarkEnd w:id="38"/>
      <w:bookmarkEnd w:id="39"/>
      <w:bookmarkEnd w:id="40"/>
    </w:p>
    <w:p>
      <w:pPr>
        <w:spacing w:line="440" w:lineRule="exact"/>
        <w:ind w:firstLine="440" w:firstLineChars="200"/>
        <w:outlineLvl w:val="1"/>
        <w:rPr>
          <w:rFonts w:hint="eastAsia" w:ascii="仿宋" w:hAnsi="仿宋" w:eastAsia="仿宋" w:cs="仿宋"/>
          <w:sz w:val="22"/>
        </w:rPr>
      </w:pPr>
      <w:bookmarkStart w:id="43" w:name="_Toc30083"/>
      <w:bookmarkStart w:id="44" w:name="_Toc4775"/>
      <w:bookmarkStart w:id="45" w:name="_Toc25516"/>
      <w:bookmarkStart w:id="46" w:name="_Toc26548"/>
      <w:bookmarkStart w:id="47" w:name="_Toc19600"/>
      <w:bookmarkStart w:id="48" w:name="_Toc3004"/>
      <w:bookmarkStart w:id="49" w:name="_Toc3534"/>
      <w:bookmarkStart w:id="50" w:name="_Toc21988"/>
      <w:bookmarkStart w:id="51" w:name="_Toc24117"/>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1"/>
      <w:bookmarkEnd w:id="42"/>
      <w:bookmarkEnd w:id="43"/>
      <w:bookmarkEnd w:id="44"/>
      <w:bookmarkEnd w:id="45"/>
      <w:bookmarkEnd w:id="46"/>
      <w:bookmarkEnd w:id="47"/>
      <w:bookmarkEnd w:id="48"/>
      <w:bookmarkEnd w:id="49"/>
      <w:bookmarkEnd w:id="50"/>
      <w:bookmarkEnd w:id="51"/>
    </w:p>
    <w:p>
      <w:pPr>
        <w:spacing w:line="440" w:lineRule="exact"/>
        <w:ind w:firstLine="440" w:firstLineChars="200"/>
        <w:outlineLvl w:val="1"/>
        <w:rPr>
          <w:rFonts w:hint="eastAsia" w:ascii="仿宋" w:hAnsi="仿宋" w:eastAsia="仿宋" w:cs="仿宋"/>
          <w:sz w:val="22"/>
        </w:rPr>
      </w:pPr>
      <w:bookmarkStart w:id="52" w:name="_Toc27376"/>
      <w:bookmarkStart w:id="53" w:name="_Toc12333"/>
      <w:bookmarkStart w:id="54" w:name="_Toc21982"/>
      <w:bookmarkStart w:id="55" w:name="_Toc16666"/>
      <w:bookmarkStart w:id="56" w:name="_Toc14887"/>
      <w:bookmarkStart w:id="57" w:name="_Toc32166"/>
      <w:bookmarkStart w:id="58" w:name="_Toc23192"/>
      <w:bookmarkStart w:id="59" w:name="_Toc691"/>
      <w:bookmarkStart w:id="60" w:name="_Toc16764"/>
      <w:bookmarkStart w:id="61" w:name="_Toc22198"/>
      <w:bookmarkStart w:id="62" w:name="_Toc3494"/>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2"/>
      <w:bookmarkEnd w:id="53"/>
      <w:bookmarkEnd w:id="54"/>
      <w:bookmarkEnd w:id="55"/>
      <w:bookmarkEnd w:id="56"/>
      <w:bookmarkEnd w:id="57"/>
      <w:bookmarkEnd w:id="58"/>
      <w:bookmarkEnd w:id="59"/>
      <w:bookmarkEnd w:id="60"/>
      <w:bookmarkEnd w:id="61"/>
      <w:bookmarkEnd w:id="62"/>
    </w:p>
    <w:p>
      <w:pPr>
        <w:spacing w:line="440" w:lineRule="exact"/>
        <w:ind w:firstLine="440" w:firstLineChars="200"/>
        <w:outlineLvl w:val="1"/>
        <w:rPr>
          <w:rFonts w:hint="eastAsia" w:ascii="仿宋" w:hAnsi="仿宋" w:eastAsia="仿宋" w:cs="仿宋"/>
          <w:sz w:val="22"/>
        </w:rPr>
      </w:pPr>
      <w:bookmarkStart w:id="63" w:name="_Toc10013"/>
      <w:bookmarkStart w:id="64" w:name="_Toc22606"/>
      <w:bookmarkStart w:id="65" w:name="_Toc9263"/>
      <w:bookmarkStart w:id="66" w:name="_Toc14269"/>
      <w:bookmarkStart w:id="67" w:name="_Toc25068"/>
      <w:bookmarkStart w:id="68" w:name="_Toc11914"/>
      <w:bookmarkStart w:id="69" w:name="_Toc31581"/>
      <w:bookmarkStart w:id="70" w:name="_Toc5412"/>
      <w:bookmarkStart w:id="71" w:name="_Toc1371"/>
      <w:bookmarkStart w:id="72" w:name="_Toc3943"/>
      <w:bookmarkStart w:id="73" w:name="_Toc4577"/>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3"/>
      <w:bookmarkEnd w:id="64"/>
      <w:bookmarkEnd w:id="65"/>
      <w:bookmarkEnd w:id="66"/>
      <w:bookmarkEnd w:id="67"/>
      <w:bookmarkEnd w:id="68"/>
      <w:bookmarkEnd w:id="69"/>
      <w:bookmarkEnd w:id="70"/>
      <w:bookmarkEnd w:id="71"/>
      <w:bookmarkEnd w:id="72"/>
      <w:bookmarkEnd w:id="73"/>
    </w:p>
    <w:p>
      <w:pPr>
        <w:spacing w:line="440" w:lineRule="exact"/>
        <w:ind w:firstLine="440" w:firstLineChars="200"/>
        <w:outlineLvl w:val="1"/>
        <w:rPr>
          <w:rFonts w:hint="eastAsia" w:ascii="仿宋" w:hAnsi="仿宋" w:eastAsia="仿宋" w:cs="仿宋"/>
          <w:sz w:val="22"/>
        </w:rPr>
      </w:pPr>
      <w:bookmarkStart w:id="74" w:name="_Toc31890"/>
      <w:bookmarkStart w:id="75" w:name="_Toc29190"/>
      <w:bookmarkStart w:id="76" w:name="_Toc13677"/>
      <w:bookmarkStart w:id="77" w:name="_Toc11489"/>
      <w:bookmarkStart w:id="78" w:name="_Toc10600"/>
      <w:bookmarkStart w:id="79" w:name="_Toc2316"/>
      <w:bookmarkStart w:id="80" w:name="_Toc17108"/>
      <w:bookmarkStart w:id="81" w:name="_Toc2937"/>
      <w:bookmarkStart w:id="82" w:name="_Toc13267"/>
      <w:bookmarkStart w:id="83" w:name="_Toc3908"/>
      <w:bookmarkStart w:id="84" w:name="_Toc18935"/>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4"/>
      <w:bookmarkEnd w:id="75"/>
      <w:bookmarkEnd w:id="76"/>
      <w:bookmarkEnd w:id="77"/>
      <w:bookmarkEnd w:id="78"/>
      <w:bookmarkEnd w:id="79"/>
      <w:bookmarkEnd w:id="80"/>
      <w:bookmarkEnd w:id="81"/>
      <w:bookmarkEnd w:id="82"/>
      <w:bookmarkEnd w:id="83"/>
      <w:bookmarkEnd w:id="84"/>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5" w:name="_Toc32365"/>
      <w:bookmarkStart w:id="86" w:name="_Toc15916"/>
      <w:bookmarkStart w:id="87" w:name="_Toc14252"/>
      <w:bookmarkStart w:id="88" w:name="_Toc24122"/>
      <w:bookmarkStart w:id="89" w:name="_Toc1313"/>
      <w:bookmarkStart w:id="90" w:name="_Toc21351"/>
      <w:bookmarkStart w:id="91" w:name="_Toc26756"/>
      <w:bookmarkStart w:id="92" w:name="_Toc12088"/>
      <w:bookmarkStart w:id="93" w:name="_Toc31638"/>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5"/>
      <w:bookmarkEnd w:id="86"/>
      <w:bookmarkEnd w:id="87"/>
      <w:bookmarkEnd w:id="88"/>
      <w:bookmarkEnd w:id="89"/>
      <w:bookmarkEnd w:id="90"/>
      <w:bookmarkEnd w:id="91"/>
      <w:bookmarkEnd w:id="92"/>
      <w:bookmarkEnd w:id="93"/>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4" w:name="_Toc28267"/>
    </w:p>
    <w:bookmarkEnd w:id="94"/>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5" w:name="_Toc18046"/>
      <w:bookmarkStart w:id="96" w:name="_Toc22760"/>
      <w:bookmarkStart w:id="97" w:name="_Toc27948"/>
      <w:bookmarkStart w:id="98" w:name="_Toc27985"/>
      <w:bookmarkStart w:id="99" w:name="_Toc29215"/>
      <w:bookmarkStart w:id="100" w:name="_Toc11278"/>
      <w:bookmarkStart w:id="101" w:name="_Toc15083"/>
      <w:bookmarkStart w:id="102" w:name="_Toc9398"/>
      <w:bookmarkStart w:id="103" w:name="_Toc10583"/>
      <w:bookmarkStart w:id="104" w:name="_Toc23212"/>
      <w:bookmarkStart w:id="105" w:name="_Toc15894"/>
      <w:bookmarkStart w:id="106" w:name="_Toc19589"/>
      <w:bookmarkStart w:id="107" w:name="_Toc26609"/>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360" w:lineRule="auto"/>
        <w:ind w:firstLine="440" w:firstLineChars="200"/>
        <w:outlineLvl w:val="1"/>
        <w:rPr>
          <w:rFonts w:hint="eastAsia" w:ascii="仿宋" w:hAnsi="仿宋" w:eastAsia="仿宋" w:cs="仿宋"/>
          <w:sz w:val="22"/>
        </w:rPr>
      </w:pPr>
      <w:bookmarkStart w:id="108" w:name="_Toc24107"/>
      <w:bookmarkStart w:id="109" w:name="_Toc757"/>
      <w:bookmarkStart w:id="110" w:name="_Toc27767"/>
      <w:bookmarkStart w:id="111" w:name="_Toc24671"/>
      <w:bookmarkStart w:id="112" w:name="_Toc29648"/>
      <w:bookmarkStart w:id="113" w:name="_Toc17741"/>
      <w:bookmarkStart w:id="114" w:name="_Toc8940"/>
      <w:bookmarkStart w:id="115" w:name="_Toc17204"/>
      <w:bookmarkStart w:id="116" w:name="_Toc24655"/>
      <w:bookmarkStart w:id="117" w:name="_Toc8348"/>
      <w:bookmarkStart w:id="118" w:name="_Toc14546"/>
      <w:bookmarkStart w:id="119" w:name="_Toc8083"/>
      <w:bookmarkStart w:id="120" w:name="_Toc4116"/>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360" w:lineRule="auto"/>
        <w:ind w:firstLine="440" w:firstLineChars="200"/>
        <w:outlineLvl w:val="1"/>
        <w:rPr>
          <w:rFonts w:hint="eastAsia" w:ascii="仿宋" w:hAnsi="仿宋" w:eastAsia="仿宋" w:cs="仿宋"/>
          <w:sz w:val="22"/>
        </w:rPr>
      </w:pPr>
      <w:bookmarkStart w:id="121" w:name="_Toc8524"/>
      <w:bookmarkStart w:id="122" w:name="_Toc5840"/>
      <w:bookmarkStart w:id="123" w:name="_Toc10945"/>
      <w:bookmarkStart w:id="124" w:name="_Toc14781"/>
      <w:bookmarkStart w:id="125" w:name="_Toc15917"/>
      <w:bookmarkStart w:id="126" w:name="_Toc24280"/>
      <w:bookmarkStart w:id="127" w:name="_Toc22243"/>
      <w:bookmarkStart w:id="128" w:name="_Toc2003"/>
      <w:bookmarkStart w:id="129" w:name="_Toc20745"/>
      <w:bookmarkStart w:id="130" w:name="_Toc10950"/>
      <w:bookmarkStart w:id="131" w:name="_Toc10308"/>
      <w:bookmarkStart w:id="132" w:name="_Toc12682"/>
      <w:r>
        <w:rPr>
          <w:rFonts w:hint="eastAsia" w:ascii="仿宋" w:hAnsi="仿宋" w:eastAsia="仿宋" w:cs="仿宋"/>
          <w:sz w:val="22"/>
        </w:rPr>
        <w:t>日    期：</w:t>
      </w:r>
      <w:bookmarkEnd w:id="121"/>
      <w:bookmarkEnd w:id="122"/>
      <w:bookmarkEnd w:id="123"/>
      <w:bookmarkEnd w:id="124"/>
      <w:bookmarkEnd w:id="125"/>
      <w:bookmarkEnd w:id="126"/>
      <w:bookmarkEnd w:id="127"/>
      <w:bookmarkEnd w:id="128"/>
      <w:bookmarkEnd w:id="129"/>
      <w:bookmarkEnd w:id="130"/>
      <w:bookmarkEnd w:id="131"/>
      <w:bookmarkEnd w:id="132"/>
    </w:p>
    <w:p>
      <w:pPr>
        <w:pStyle w:val="5"/>
        <w:ind w:firstLine="617"/>
        <w:rPr>
          <w:rFonts w:hint="eastAsia" w:ascii="仿宋" w:hAnsi="仿宋" w:eastAsia="仿宋" w:cs="仿宋"/>
          <w:sz w:val="24"/>
        </w:rPr>
      </w:pPr>
    </w:p>
    <w:p>
      <w:pPr>
        <w:pStyle w:val="5"/>
        <w:ind w:firstLine="617"/>
        <w:rPr>
          <w:rFonts w:hint="eastAsia" w:ascii="仿宋" w:hAnsi="仿宋" w:eastAsia="仿宋" w:cs="仿宋"/>
          <w:sz w:val="24"/>
        </w:rPr>
      </w:pPr>
    </w:p>
    <w:p>
      <w:pPr>
        <w:pStyle w:val="5"/>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9"/>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9"/>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ascii="微软雅黑" w:hAnsi="微软雅黑" w:eastAsia="微软雅黑"/>
        </w:rPr>
      </w:pPr>
      <w:r>
        <w:rPr>
          <w:rFonts w:hint="eastAsia" w:ascii="仿宋_GB2312" w:hAnsi="仿宋_GB2312" w:eastAsia="仿宋_GB2312" w:cs="仿宋_GB2312"/>
          <w:sz w:val="28"/>
          <w:szCs w:val="28"/>
        </w:rPr>
        <w:t>日期：   年    月    日</w:t>
      </w:r>
      <w:bookmarkStart w:id="133" w:name="_GoBack"/>
      <w:bookmarkEnd w:id="133"/>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0FEB8"/>
    <w:multiLevelType w:val="singleLevel"/>
    <w:tmpl w:val="A540FEB8"/>
    <w:lvl w:ilvl="0" w:tentative="0">
      <w:start w:val="1"/>
      <w:numFmt w:val="decimal"/>
      <w:suff w:val="space"/>
      <w:lvlText w:val="%1."/>
      <w:lvlJc w:val="left"/>
    </w:lvl>
  </w:abstractNum>
  <w:abstractNum w:abstractNumId="1">
    <w:nsid w:val="1F2BA199"/>
    <w:multiLevelType w:val="singleLevel"/>
    <w:tmpl w:val="1F2BA199"/>
    <w:lvl w:ilvl="0" w:tentative="0">
      <w:start w:val="1"/>
      <w:numFmt w:val="decimal"/>
      <w:lvlText w:val="%1."/>
      <w:lvlJc w:val="left"/>
      <w:pPr>
        <w:tabs>
          <w:tab w:val="left" w:pos="312"/>
        </w:tabs>
      </w:pPr>
    </w:lvl>
  </w:abstractNum>
  <w:abstractNum w:abstractNumId="2">
    <w:nsid w:val="3FBE5DB9"/>
    <w:multiLevelType w:val="singleLevel"/>
    <w:tmpl w:val="3FBE5DB9"/>
    <w:lvl w:ilvl="0" w:tentative="0">
      <w:start w:val="1"/>
      <w:numFmt w:val="decimal"/>
      <w:suff w:val="space"/>
      <w:lvlText w:val="%1."/>
      <w:lvlJc w:val="left"/>
    </w:lvl>
  </w:abstractNum>
  <w:abstractNum w:abstractNumId="3">
    <w:nsid w:val="593C8D52"/>
    <w:multiLevelType w:val="singleLevel"/>
    <w:tmpl w:val="593C8D52"/>
    <w:lvl w:ilvl="0" w:tentative="0">
      <w:start w:val="1"/>
      <w:numFmt w:val="decimal"/>
      <w:suff w:val="space"/>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86325"/>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858FC"/>
    <w:rsid w:val="004A1DE7"/>
    <w:rsid w:val="004A2082"/>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7E77B5"/>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B50EC"/>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6E70"/>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939427D"/>
    <w:rsid w:val="0EF6796D"/>
    <w:rsid w:val="1A3D0D9C"/>
    <w:rsid w:val="235632C3"/>
    <w:rsid w:val="264D7A9F"/>
    <w:rsid w:val="27994EB5"/>
    <w:rsid w:val="34BD0A25"/>
    <w:rsid w:val="440A651B"/>
    <w:rsid w:val="47CB3CB6"/>
    <w:rsid w:val="4C2F3C73"/>
    <w:rsid w:val="4D421824"/>
    <w:rsid w:val="598F0681"/>
    <w:rsid w:val="5E0B7A06"/>
    <w:rsid w:val="5EE457B5"/>
    <w:rsid w:val="70136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Body Text Indent 2"/>
    <w:basedOn w:val="1"/>
    <w:semiHidden/>
    <w:unhideWhenUsed/>
    <w:qFormat/>
    <w:uiPriority w:val="99"/>
    <w:pPr>
      <w:spacing w:after="120" w:line="480" w:lineRule="auto"/>
      <w:ind w:left="420" w:leftChars="2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paragraph" w:customStyle="1" w:styleId="14">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style>
  <w:style w:type="paragraph" w:customStyle="1" w:styleId="16">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561</Words>
  <Characters>3203</Characters>
  <Lines>26</Lines>
  <Paragraphs>7</Paragraphs>
  <TotalTime>4</TotalTime>
  <ScaleCrop>false</ScaleCrop>
  <LinksUpToDate>false</LinksUpToDate>
  <CharactersWithSpaces>3757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卢</cp:lastModifiedBy>
  <cp:lastPrinted>2021-01-04T11:22:00Z</cp:lastPrinted>
  <dcterms:modified xsi:type="dcterms:W3CDTF">2023-11-14T09:13:24Z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