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spacing w:line="48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婴儿艾滋病早期诊断实验室负压实验室净化系统改造项目</w:t>
      </w:r>
    </w:p>
    <w:p>
      <w:pPr>
        <w:spacing w:line="48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eastAsia="zh-CN"/>
        </w:rPr>
        <w:t xml:space="preserve"> </w:t>
      </w:r>
      <w:r>
        <w:rPr>
          <w:rFonts w:hint="eastAsia" w:ascii="黑体" w:hAnsi="黑体" w:eastAsia="黑体" w:cs="黑体"/>
          <w:b/>
          <w:bCs w:val="0"/>
          <w:color w:val="auto"/>
          <w:sz w:val="32"/>
          <w:szCs w:val="32"/>
          <w:highlight w:val="none"/>
          <w:lang w:val="en-US" w:eastAsia="zh-CN"/>
        </w:rPr>
        <w:t>SCFY-HQ202311-006</w:t>
      </w:r>
      <w:r>
        <w:rPr>
          <w:rFonts w:hint="eastAsia" w:ascii="黑体" w:hAnsi="黑体" w:eastAsia="黑体" w:cs="黑体"/>
          <w:b/>
          <w:bCs w:val="0"/>
          <w:color w:val="auto"/>
          <w:sz w:val="32"/>
          <w:szCs w:val="32"/>
          <w:highlight w:val="none"/>
          <w:lang w:eastAsia="zh-CN"/>
        </w:rPr>
        <w:t>（</w:t>
      </w:r>
      <w:r>
        <w:rPr>
          <w:rFonts w:hint="eastAsia" w:ascii="黑体" w:hAnsi="黑体" w:eastAsia="黑体" w:cs="黑体"/>
          <w:b/>
          <w:bCs w:val="0"/>
          <w:color w:val="auto"/>
          <w:sz w:val="32"/>
          <w:szCs w:val="32"/>
          <w:highlight w:val="none"/>
          <w:lang w:val="en-US" w:eastAsia="zh-CN"/>
        </w:rPr>
        <w:t>谈</w:t>
      </w:r>
      <w:r>
        <w:rPr>
          <w:rFonts w:hint="eastAsia" w:ascii="黑体" w:hAnsi="黑体" w:eastAsia="黑体" w:cs="黑体"/>
          <w:b/>
          <w:bCs w:val="0"/>
          <w:color w:val="auto"/>
          <w:sz w:val="32"/>
          <w:szCs w:val="32"/>
          <w:highlight w:val="none"/>
          <w:lang w:eastAsia="zh-CN"/>
        </w:rPr>
        <w:t>）</w:t>
      </w:r>
    </w:p>
    <w:p>
      <w:pPr>
        <w:pStyle w:val="6"/>
        <w:rPr>
          <w:rFonts w:hint="eastAsia"/>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我院将召开“婴儿艾滋病早期诊断实验室负压实验室净化系统改造项目”院内采购会议，会议由后勤保障部组织。届时，请投标人准时参加，务必提供公司资质文件（密封盖章）、</w:t>
      </w:r>
      <w:r>
        <w:rPr>
          <w:rFonts w:hint="eastAsia" w:ascii="宋体" w:hAnsi="宋体" w:cs="宋体"/>
          <w:i w:val="0"/>
          <w:iCs w:val="0"/>
          <w:caps w:val="0"/>
          <w:color w:val="auto"/>
          <w:spacing w:val="0"/>
          <w:sz w:val="24"/>
          <w:szCs w:val="24"/>
          <w:highlight w:val="none"/>
          <w:shd w:val="clear" w:color="auto" w:fill="FFFFFF"/>
          <w:lang w:val="en-US" w:eastAsia="zh-CN"/>
        </w:rPr>
        <w:t>采购投标</w:t>
      </w:r>
      <w:r>
        <w:rPr>
          <w:rFonts w:hint="eastAsia" w:ascii="宋体" w:hAnsi="宋体" w:eastAsia="宋体" w:cs="宋体"/>
          <w:i w:val="0"/>
          <w:iCs w:val="0"/>
          <w:caps w:val="0"/>
          <w:color w:val="auto"/>
          <w:spacing w:val="0"/>
          <w:sz w:val="24"/>
          <w:szCs w:val="24"/>
          <w:highlight w:val="none"/>
          <w:shd w:val="clear" w:color="auto" w:fill="FFFFFF"/>
          <w:lang w:val="en-US" w:eastAsia="zh-CN"/>
        </w:rPr>
        <w:t>文件（密封</w:t>
      </w:r>
      <w:r>
        <w:rPr>
          <w:rFonts w:hint="eastAsia" w:ascii="宋体" w:hAnsi="宋体" w:cs="宋体"/>
          <w:i w:val="0"/>
          <w:iCs w:val="0"/>
          <w:caps w:val="0"/>
          <w:color w:val="auto"/>
          <w:spacing w:val="0"/>
          <w:sz w:val="24"/>
          <w:szCs w:val="24"/>
          <w:highlight w:val="none"/>
          <w:shd w:val="clear" w:color="auto" w:fill="FFFFFF"/>
          <w:lang w:val="en-US" w:eastAsia="zh-CN"/>
        </w:rPr>
        <w:t>加盖鲜</w:t>
      </w:r>
      <w:r>
        <w:rPr>
          <w:rFonts w:hint="eastAsia" w:ascii="宋体" w:hAnsi="宋体" w:eastAsia="宋体" w:cs="宋体"/>
          <w:i w:val="0"/>
          <w:iCs w:val="0"/>
          <w:caps w:val="0"/>
          <w:color w:val="auto"/>
          <w:spacing w:val="0"/>
          <w:sz w:val="24"/>
          <w:szCs w:val="24"/>
          <w:highlight w:val="none"/>
          <w:shd w:val="clear" w:color="auto" w:fill="FFFFFF"/>
          <w:lang w:val="en-US" w:eastAsia="zh-CN"/>
        </w:rPr>
        <w:t>章）、报价一览表（密封盖章）、参会人员的授权书等资料，具体事项如下：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2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1.会议时间：</w:t>
      </w:r>
      <w:r>
        <w:rPr>
          <w:rFonts w:hint="eastAsia" w:ascii="宋体" w:hAnsi="宋体" w:cs="宋体"/>
          <w:i w:val="0"/>
          <w:iCs w:val="0"/>
          <w:caps w:val="0"/>
          <w:color w:val="auto"/>
          <w:spacing w:val="0"/>
          <w:sz w:val="24"/>
          <w:szCs w:val="24"/>
          <w:highlight w:val="none"/>
          <w:shd w:val="clear" w:color="auto" w:fill="FFFFFF"/>
          <w:lang w:eastAsia="zh-CN"/>
        </w:rPr>
        <w:t>2023年11月23日（星期四）下午14:30</w:t>
      </w:r>
    </w:p>
    <w:p>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2.会议地点：四川省妇幼保健院</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i w:val="0"/>
          <w:iCs w:val="0"/>
          <w:caps w:val="0"/>
          <w:color w:val="auto"/>
          <w:spacing w:val="0"/>
          <w:sz w:val="24"/>
          <w:szCs w:val="24"/>
          <w:highlight w:val="none"/>
          <w:shd w:val="clear" w:color="auto" w:fill="FFFFFF"/>
        </w:rPr>
        <w:t xml:space="preserve">      </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eastAsia="宋体" w:cs="宋体"/>
          <w:i w:val="0"/>
          <w:iCs w:val="0"/>
          <w:caps w:val="0"/>
          <w:color w:val="auto"/>
          <w:spacing w:val="0"/>
          <w:sz w:val="24"/>
          <w:szCs w:val="24"/>
          <w:highlight w:val="none"/>
          <w:shd w:val="clear" w:color="auto" w:fill="FFFFFF"/>
          <w:lang w:val="en-US" w:eastAsia="zh-CN"/>
        </w:rPr>
        <w:t>谈判</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w:t>
      </w:r>
      <w:r>
        <w:rPr>
          <w:rFonts w:hint="eastAsia" w:ascii="宋体" w:hAnsi="宋体" w:cs="宋体"/>
          <w:i w:val="0"/>
          <w:iCs w:val="0"/>
          <w:caps w:val="0"/>
          <w:color w:val="auto"/>
          <w:spacing w:val="0"/>
          <w:sz w:val="24"/>
          <w:szCs w:val="24"/>
          <w:highlight w:val="none"/>
          <w:shd w:val="clear" w:color="auto" w:fill="FFFFFF"/>
          <w:lang w:val="en-US" w:eastAsia="zh-CN"/>
        </w:rPr>
        <w:t>采购投标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4.2.1有效的三证合一营业执照（副本）；</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）,法定代表人和经办人身份证复印件；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cs="宋体"/>
          <w:i w:val="0"/>
          <w:iCs w:val="0"/>
          <w:caps w:val="0"/>
          <w:color w:val="auto"/>
          <w:spacing w:val="0"/>
          <w:sz w:val="24"/>
          <w:szCs w:val="24"/>
          <w:highlight w:val="none"/>
          <w:shd w:val="clear" w:color="auto" w:fill="FFFFFF"/>
          <w:lang w:val="en-US" w:eastAsia="zh-CN"/>
        </w:rPr>
        <w:t xml:space="preserve"> 投标人需提供投标单位有效期内的《安全生产许可证》；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投标人应承诺能够按照采购人要求及时签署合同，</w:t>
      </w:r>
      <w:r>
        <w:rPr>
          <w:rFonts w:hint="eastAsia" w:ascii="宋体" w:hAnsi="宋体" w:cs="宋体"/>
          <w:i w:val="0"/>
          <w:iCs w:val="0"/>
          <w:caps w:val="0"/>
          <w:color w:val="auto"/>
          <w:spacing w:val="0"/>
          <w:sz w:val="24"/>
          <w:szCs w:val="24"/>
          <w:highlight w:val="none"/>
          <w:shd w:val="clear" w:color="auto" w:fill="FFFFFF"/>
          <w:lang w:val="en-US" w:eastAsia="zh-CN"/>
        </w:rPr>
        <w:t>满足采购文件的一切需求。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5.3报价原则：原则上所有投标品种报价不得高于四川省内其他地市中标价格或医疗机构近两年的历史采购最低价，投标人提供承诺函。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2023年11月23日（星期四）下午14:30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4.2.1-4.2.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8.1　</w:t>
      </w:r>
      <w:r>
        <w:rPr>
          <w:rFonts w:hint="eastAsia" w:ascii="宋体" w:hAnsi="宋体" w:cs="宋体"/>
          <w:i w:val="0"/>
          <w:iCs w:val="0"/>
          <w:caps w:val="0"/>
          <w:color w:val="auto"/>
          <w:spacing w:val="0"/>
          <w:sz w:val="24"/>
          <w:szCs w:val="24"/>
          <w:highlight w:val="none"/>
          <w:shd w:val="clear" w:color="auto" w:fill="FFFFFF"/>
          <w:lang w:eastAsia="zh-CN"/>
        </w:rPr>
        <w:t>2023年11月23日（星期四）下午14:30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8.4　</w:t>
      </w:r>
      <w:r>
        <w:rPr>
          <w:rFonts w:hint="eastAsia" w:ascii="宋体" w:hAnsi="宋体" w:cs="宋体"/>
          <w:i w:val="0"/>
          <w:iCs w:val="0"/>
          <w:caps w:val="0"/>
          <w:color w:val="auto"/>
          <w:spacing w:val="0"/>
          <w:sz w:val="24"/>
          <w:szCs w:val="24"/>
          <w:highlight w:val="none"/>
          <w:shd w:val="clear" w:color="auto" w:fill="FFFFFF"/>
          <w:lang w:eastAsia="zh-CN"/>
        </w:rPr>
        <w:t>2023年11月23日（星期四）下午14:30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9.其它说明：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9.1采购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lang w:val="en-US" w:eastAsia="zh-CN"/>
        </w:rPr>
        <w:t>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240" w:firstLineChars="1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8"/>
        <w:keepNext w:val="0"/>
        <w:keepLines w:val="0"/>
        <w:pageBreakBefore w:val="0"/>
        <w:widowControl/>
        <w:kinsoku/>
        <w:wordWrap/>
        <w:overflowPunct/>
        <w:topLinePunct w:val="0"/>
        <w:bidi w:val="0"/>
        <w:spacing w:line="36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附件1 采购需求</w:t>
      </w:r>
    </w:p>
    <w:p>
      <w:pPr>
        <w:keepNext w:val="0"/>
        <w:keepLines w:val="0"/>
        <w:pageBreakBefore w:val="0"/>
        <w:widowControl w:val="0"/>
        <w:kinsoku/>
        <w:wordWrap/>
        <w:overflowPunct/>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rPr>
        <w:t>一、工程概况</w:t>
      </w:r>
    </w:p>
    <w:p>
      <w:pPr>
        <w:keepNext w:val="0"/>
        <w:keepLines w:val="0"/>
        <w:pageBreakBefore w:val="0"/>
        <w:widowControl w:val="0"/>
        <w:kinsoku/>
        <w:wordWrap/>
        <w:overflowPunct/>
        <w:topLinePunct w:val="0"/>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1.工程名称：四川省妇幼保健院</w:t>
      </w:r>
      <w:r>
        <w:rPr>
          <w:rFonts w:hint="eastAsia" w:ascii="宋体" w:hAnsi="宋体" w:eastAsia="宋体" w:cs="宋体"/>
          <w:i w:val="0"/>
          <w:iCs w:val="0"/>
          <w:caps w:val="0"/>
          <w:color w:val="auto"/>
          <w:spacing w:val="0"/>
          <w:sz w:val="24"/>
          <w:szCs w:val="24"/>
          <w:highlight w:val="none"/>
          <w:shd w:val="clear" w:color="auto" w:fill="FFFFFF"/>
          <w:lang w:val="en-US" w:eastAsia="zh-CN"/>
        </w:rPr>
        <w:t>婴儿艾滋病早期诊断实验室负压实验室净化系统改造项目</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2.工程位置：成都市武侯区沙堰西二街290号（</w:t>
      </w:r>
      <w:r>
        <w:rPr>
          <w:rFonts w:hint="eastAsia" w:ascii="宋体" w:hAnsi="宋体" w:eastAsia="宋体" w:cs="宋体"/>
          <w:sz w:val="24"/>
          <w:szCs w:val="24"/>
          <w:lang w:val="en-US" w:eastAsia="zh-CN"/>
        </w:rPr>
        <w:t>晋阳院区</w:t>
      </w:r>
      <w:r>
        <w:rPr>
          <w:rFonts w:hint="eastAsia" w:ascii="宋体" w:hAnsi="宋体" w:eastAsia="宋体" w:cs="宋体"/>
          <w:sz w:val="24"/>
          <w:szCs w:val="24"/>
        </w:rPr>
        <w:t>）</w:t>
      </w:r>
      <w:r>
        <w:rPr>
          <w:rFonts w:hint="eastAsia" w:ascii="宋体" w:hAnsi="宋体" w:eastAsia="宋体" w:cs="宋体"/>
          <w:sz w:val="24"/>
          <w:szCs w:val="24"/>
          <w:lang w:val="en-US" w:eastAsia="zh-CN"/>
        </w:rPr>
        <w:t>门诊楼检验科</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工程概况：我院始建于1988年，系四川省卫生健康委员会直属非营利性事业单位和成都医学院附属妇女儿童医院，是集医疗、保健、公共卫生管理、教学、科研、培训等职能为一体的三级甲等妇幼保健机构，四川省妇幼健康和计划生育研究所、四川省产前诊断中心、四川省新生儿疾病筛查中心、四川省儿童医学中心等机构均设于我院。抚琴院区于1988年投入使用，医院本部于2012年投入使用，其中检验科负压实验室于2019年建成。</w:t>
      </w:r>
    </w:p>
    <w:p>
      <w:pPr>
        <w:pStyle w:val="2"/>
        <w:keepNext w:val="0"/>
        <w:keepLines w:val="0"/>
        <w:pageBreakBefore w:val="0"/>
        <w:widowControl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4.项目预算：12.5万元</w:t>
      </w:r>
    </w:p>
    <w:p>
      <w:pPr>
        <w:keepNext w:val="0"/>
        <w:keepLines w:val="0"/>
        <w:pageBreakBefore w:val="0"/>
        <w:widowControl w:val="0"/>
        <w:kinsoku/>
        <w:wordWrap/>
        <w:overflowPunct/>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rPr>
        <w:t>二、 项目系统情况介绍</w:t>
      </w:r>
    </w:p>
    <w:p>
      <w:pPr>
        <w:pStyle w:val="13"/>
        <w:keepNext w:val="0"/>
        <w:keepLines w:val="0"/>
        <w:pageBreakBefore w:val="0"/>
        <w:widowControl w:val="0"/>
        <w:kinsoku/>
        <w:wordWrap/>
        <w:overflowPunct/>
        <w:topLinePunct w:val="0"/>
        <w:bidi w:val="0"/>
        <w:spacing w:line="360" w:lineRule="auto"/>
        <w:rPr>
          <w:rFonts w:hint="eastAsia" w:ascii="宋体" w:hAnsi="宋体" w:eastAsia="宋体" w:cs="宋体"/>
          <w:color w:val="auto"/>
          <w:kern w:val="2"/>
          <w:sz w:val="24"/>
          <w:szCs w:val="24"/>
        </w:rPr>
      </w:pPr>
      <w:r>
        <w:rPr>
          <w:rFonts w:hint="eastAsia" w:ascii="宋体" w:hAnsi="宋体" w:eastAsia="宋体" w:cs="宋体"/>
          <w:sz w:val="24"/>
          <w:szCs w:val="24"/>
        </w:rPr>
        <w:t xml:space="preserve">     </w:t>
      </w:r>
      <w:r>
        <w:rPr>
          <w:rFonts w:hint="eastAsia" w:ascii="宋体" w:hAnsi="宋体" w:eastAsia="宋体" w:cs="宋体"/>
          <w:color w:val="auto"/>
          <w:kern w:val="2"/>
          <w:sz w:val="24"/>
          <w:szCs w:val="24"/>
        </w:rPr>
        <w:t>项目于2019年建成，目前在外界温度高于33度后就出现实验室内温度超标，外界温度低于30度后房间温度能满足使用需求。负压常年均正常，能满足使用需求。实验室内部发热设备总功率为8KW。系统设备组成情况如下：</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（1）制冷设备</w:t>
      </w:r>
    </w:p>
    <w:p>
      <w:pPr>
        <w:pStyle w:val="13"/>
        <w:keepNext w:val="0"/>
        <w:keepLines w:val="0"/>
        <w:pageBreakBefore w:val="0"/>
        <w:widowControl w:val="0"/>
        <w:kinsoku/>
        <w:wordWrap/>
        <w:overflowPunct/>
        <w:topLinePunct w:val="0"/>
        <w:bidi w:val="0"/>
        <w:spacing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color w:val="auto"/>
          <w:kern w:val="2"/>
          <w:sz w:val="24"/>
          <w:szCs w:val="24"/>
        </w:rPr>
        <w:fldChar w:fldCharType="begin"/>
      </w:r>
      <w:r>
        <w:rPr>
          <w:rFonts w:hint="eastAsia" w:ascii="宋体" w:hAnsi="宋体" w:eastAsia="宋体" w:cs="宋体"/>
          <w:color w:val="auto"/>
          <w:kern w:val="2"/>
          <w:sz w:val="24"/>
          <w:szCs w:val="24"/>
        </w:rPr>
        <w:instrText xml:space="preserve"> = 1 \* GB3 </w:instrText>
      </w:r>
      <w:r>
        <w:rPr>
          <w:rFonts w:hint="eastAsia" w:ascii="宋体" w:hAnsi="宋体" w:eastAsia="宋体" w:cs="宋体"/>
          <w:color w:val="auto"/>
          <w:kern w:val="2"/>
          <w:sz w:val="24"/>
          <w:szCs w:val="24"/>
        </w:rPr>
        <w:fldChar w:fldCharType="separate"/>
      </w:r>
      <w:r>
        <w:rPr>
          <w:rFonts w:hint="eastAsia" w:ascii="宋体" w:hAnsi="宋体" w:eastAsia="宋体" w:cs="宋体"/>
          <w:color w:val="auto"/>
          <w:kern w:val="2"/>
          <w:sz w:val="24"/>
          <w:szCs w:val="24"/>
        </w:rPr>
        <w:t>①</w:t>
      </w:r>
      <w:r>
        <w:rPr>
          <w:rFonts w:hint="eastAsia" w:ascii="宋体" w:hAnsi="宋体" w:eastAsia="宋体" w:cs="宋体"/>
          <w:color w:val="auto"/>
          <w:kern w:val="2"/>
          <w:sz w:val="24"/>
          <w:szCs w:val="24"/>
        </w:rPr>
        <w:fldChar w:fldCharType="end"/>
      </w:r>
      <w:r>
        <w:rPr>
          <w:rFonts w:hint="eastAsia" w:ascii="宋体" w:hAnsi="宋体" w:eastAsia="宋体" w:cs="宋体"/>
          <w:color w:val="auto"/>
          <w:kern w:val="2"/>
          <w:sz w:val="24"/>
          <w:szCs w:val="24"/>
        </w:rPr>
        <w:t>系统冷热源：由放在4楼楼顶的四台风冷涡旋式冷水（热泵）机组输入，总制冷量为421KW。四台风冷涡旋式冷水（热泵）机组同时还为其他三个实验室提供冷热源。</w:t>
      </w:r>
    </w:p>
    <w:p>
      <w:pPr>
        <w:pStyle w:val="13"/>
        <w:keepNext w:val="0"/>
        <w:keepLines w:val="0"/>
        <w:pageBreakBefore w:val="0"/>
        <w:widowControl w:val="0"/>
        <w:kinsoku/>
        <w:wordWrap/>
        <w:overflowPunct/>
        <w:topLinePunct w:val="0"/>
        <w:bidi w:val="0"/>
        <w:spacing w:line="360" w:lineRule="auto"/>
        <w:ind w:firstLine="48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风系统：本项目室内送风采用的是组合式空气处理机组（送风）加风机箱（排风）组成，其中组合式空气处理机组送风6000m³制冷量35KW，排风风机箱风量为1000m³。设备位于4楼楼顶。风管从4楼楼顶从管道井穿至2楼实验室吊顶内。</w:t>
      </w:r>
    </w:p>
    <w:p>
      <w:pPr>
        <w:pStyle w:val="13"/>
        <w:keepNext w:val="0"/>
        <w:keepLines w:val="0"/>
        <w:pageBreakBefore w:val="0"/>
        <w:widowControl w:val="0"/>
        <w:kinsoku/>
        <w:wordWrap/>
        <w:overflowPunct/>
        <w:topLinePunct w:val="0"/>
        <w:bidi w:val="0"/>
        <w:spacing w:line="360" w:lineRule="auto"/>
        <w:ind w:firstLine="48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（3）水系统：系统由两台水泵加调节阀组成。</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（4）风口布置：实验室有6处回风口其中细菌室4个4400*400，结核/真菌室2个320*320</w:t>
      </w:r>
    </w:p>
    <w:p>
      <w:pPr>
        <w:keepNext w:val="0"/>
        <w:keepLines w:val="0"/>
        <w:pageBreakBefore w:val="0"/>
        <w:widowControl w:val="0"/>
        <w:kinsoku/>
        <w:wordWrap/>
        <w:overflowPunct/>
        <w:topLinePunct w:val="0"/>
        <w:bidi w:val="0"/>
        <w:spacing w:line="360" w:lineRule="auto"/>
        <w:rPr>
          <w:rFonts w:hint="eastAsia" w:ascii="宋体" w:hAnsi="宋体" w:eastAsia="宋体" w:cs="宋体"/>
          <w:b/>
          <w:sz w:val="24"/>
          <w:szCs w:val="24"/>
          <w:em w:val="dot"/>
        </w:rPr>
      </w:pPr>
      <w:r>
        <w:rPr>
          <w:rFonts w:hint="eastAsia" w:ascii="宋体" w:hAnsi="宋体" w:eastAsia="宋体" w:cs="宋体"/>
          <w:b/>
          <w:sz w:val="24"/>
          <w:szCs w:val="24"/>
          <w:em w:val="dot"/>
        </w:rPr>
        <w:t>三、改造清单：</w:t>
      </w:r>
    </w:p>
    <w:tbl>
      <w:tblPr>
        <w:tblStyle w:val="11"/>
        <w:tblpPr w:leftFromText="180" w:rightFromText="180" w:vertAnchor="text" w:horzAnchor="margin" w:tblpXSpec="center" w:tblpY="2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1417"/>
        <w:gridCol w:w="992"/>
        <w:gridCol w:w="993"/>
        <w:gridCol w:w="1984"/>
      </w:tblGrid>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名称</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型号及参数</w:t>
            </w: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数量</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单位</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备注</w:t>
            </w: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钢管（含保温）</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DN125</w:t>
            </w: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48</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米</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阀件</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DN125</w:t>
            </w: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批</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与钢管配套使用</w:t>
            </w: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带过滤器排风箱</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3000风量</w:t>
            </w: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台</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风管</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22</w:t>
            </w:r>
            <w:r>
              <w:rPr>
                <w:rFonts w:hint="eastAsia" w:ascii="宋体" w:hAnsi="宋体" w:eastAsia="宋体" w:cs="宋体"/>
                <w:color w:val="auto"/>
                <w:kern w:val="2"/>
                <w:sz w:val="24"/>
                <w:szCs w:val="24"/>
              </w:rPr>
              <w:t>0</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6排管式蒸发器</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台</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替换现有组合式空气处理机组内三排管蒸发器</w:t>
            </w: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6</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sz w:val="24"/>
                <w:szCs w:val="24"/>
              </w:rPr>
              <w:t>拆除（风管、水管）</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1</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项</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7</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r>
              <w:rPr>
                <w:rFonts w:hint="eastAsia" w:ascii="宋体" w:hAnsi="宋体" w:eastAsia="宋体" w:cs="宋体"/>
                <w:sz w:val="24"/>
                <w:szCs w:val="24"/>
              </w:rPr>
              <w:t>调试</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1</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项</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p>
        </w:tc>
      </w:tr>
      <w:tr>
        <w:tc>
          <w:tcPr>
            <w:tcW w:w="8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8</w:t>
            </w:r>
          </w:p>
        </w:tc>
        <w:tc>
          <w:tcPr>
            <w:tcW w:w="1985"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辅材</w:t>
            </w:r>
          </w:p>
        </w:tc>
        <w:tc>
          <w:tcPr>
            <w:tcW w:w="1417"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p>
        </w:tc>
        <w:tc>
          <w:tcPr>
            <w:tcW w:w="992"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1</w:t>
            </w:r>
          </w:p>
        </w:tc>
        <w:tc>
          <w:tcPr>
            <w:tcW w:w="993" w:type="dxa"/>
          </w:tcPr>
          <w:p>
            <w:pPr>
              <w:pStyle w:val="13"/>
              <w:keepNext w:val="0"/>
              <w:keepLines w:val="0"/>
              <w:pageBreakBefore w:val="0"/>
              <w:widowControl w:val="0"/>
              <w:kinsoku/>
              <w:wordWrap/>
              <w:overflowPunct/>
              <w:topLinePunct w:val="0"/>
              <w:bidi w:val="0"/>
              <w:spacing w:before="50" w:beforeLines="50" w:after="50" w:afterLines="50" w:line="360" w:lineRule="auto"/>
              <w:jc w:val="center"/>
              <w:rPr>
                <w:rFonts w:hint="eastAsia" w:ascii="宋体" w:hAnsi="宋体" w:eastAsia="宋体" w:cs="宋体"/>
                <w:color w:val="auto"/>
                <w:kern w:val="2"/>
                <w:sz w:val="24"/>
                <w:szCs w:val="24"/>
              </w:rPr>
            </w:pPr>
            <w:r>
              <w:rPr>
                <w:rFonts w:hint="eastAsia" w:ascii="宋体" w:hAnsi="宋体" w:eastAsia="宋体" w:cs="宋体"/>
                <w:sz w:val="24"/>
                <w:szCs w:val="24"/>
              </w:rPr>
              <w:t>批</w:t>
            </w:r>
          </w:p>
        </w:tc>
        <w:tc>
          <w:tcPr>
            <w:tcW w:w="1984" w:type="dxa"/>
          </w:tcPr>
          <w:p>
            <w:pPr>
              <w:pStyle w:val="13"/>
              <w:keepNext w:val="0"/>
              <w:keepLines w:val="0"/>
              <w:pageBreakBefore w:val="0"/>
              <w:widowControl w:val="0"/>
              <w:kinsoku/>
              <w:wordWrap/>
              <w:overflowPunct/>
              <w:topLinePunct w:val="0"/>
              <w:bidi w:val="0"/>
              <w:spacing w:before="50" w:beforeLines="50" w:after="50" w:afterLines="50" w:line="360" w:lineRule="auto"/>
              <w:jc w:val="both"/>
              <w:rPr>
                <w:rFonts w:hint="eastAsia" w:ascii="宋体" w:hAnsi="宋体" w:eastAsia="宋体" w:cs="宋体"/>
                <w:color w:val="auto"/>
                <w:kern w:val="2"/>
                <w:sz w:val="24"/>
                <w:szCs w:val="24"/>
              </w:rPr>
            </w:pPr>
          </w:p>
        </w:tc>
      </w:tr>
    </w:tbl>
    <w:p>
      <w:pPr>
        <w:pStyle w:val="13"/>
        <w:keepNext w:val="0"/>
        <w:keepLines w:val="0"/>
        <w:pageBreakBefore w:val="0"/>
        <w:widowControl w:val="0"/>
        <w:kinsoku/>
        <w:wordWrap/>
        <w:overflowPunct/>
        <w:topLinePunct w:val="0"/>
        <w:bidi w:val="0"/>
        <w:spacing w:line="360" w:lineRule="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rPr>
        <w:t>四、验收标准</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1.施工方的工作标准和检验必须符合《通风与空调工程施工质量验收规范》、《电气装置安装工程接地装置施工及验收规范》的有关规定和标准，严格施工。</w:t>
      </w:r>
    </w:p>
    <w:p>
      <w:pPr>
        <w:keepNext w:val="0"/>
        <w:keepLines w:val="0"/>
        <w:pageBreakBefore w:val="0"/>
        <w:widowControl w:val="0"/>
        <w:kinsoku/>
        <w:wordWrap/>
        <w:overflowPunct/>
        <w:topLinePunct w:val="0"/>
        <w:bidi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五、采购方式为：院内竞争性谈判</w:t>
      </w:r>
    </w:p>
    <w:p>
      <w:pPr>
        <w:keepNext w:val="0"/>
        <w:keepLines w:val="0"/>
        <w:pageBreakBefore w:val="0"/>
        <w:widowControl w:val="0"/>
        <w:kinsoku/>
        <w:wordWrap/>
        <w:overflowPunct/>
        <w:topLinePunct w:val="0"/>
        <w:bidi w:val="0"/>
        <w:spacing w:line="360" w:lineRule="auto"/>
        <w:rPr>
          <w:rFonts w:hint="eastAsia" w:ascii="宋体" w:hAnsi="宋体" w:eastAsia="宋体" w:cs="宋体"/>
          <w:b/>
          <w:sz w:val="24"/>
          <w:szCs w:val="24"/>
        </w:rPr>
      </w:pPr>
      <w:r>
        <w:rPr>
          <w:rFonts w:hint="eastAsia" w:ascii="宋体" w:hAnsi="宋体" w:eastAsia="宋体" w:cs="宋体"/>
          <w:b/>
          <w:sz w:val="24"/>
          <w:szCs w:val="24"/>
        </w:rPr>
        <w:t>六、补充：</w:t>
      </w:r>
    </w:p>
    <w:p>
      <w:pPr>
        <w:keepNext w:val="0"/>
        <w:keepLines w:val="0"/>
        <w:pageBreakBefore w:val="0"/>
        <w:widowControl w:val="0"/>
        <w:kinsoku/>
        <w:wordWrap/>
        <w:overflowPunct/>
        <w:topLinePunct w:val="0"/>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1.工期：</w:t>
      </w:r>
      <w:r>
        <w:rPr>
          <w:rFonts w:hint="eastAsia" w:ascii="宋体" w:hAnsi="宋体" w:eastAsia="宋体" w:cs="宋体"/>
          <w:sz w:val="24"/>
          <w:szCs w:val="24"/>
          <w:lang w:val="en-US" w:eastAsia="zh-CN"/>
        </w:rPr>
        <w:t>30</w:t>
      </w:r>
      <w:r>
        <w:rPr>
          <w:rFonts w:hint="eastAsia" w:ascii="宋体" w:hAnsi="宋体" w:eastAsia="宋体" w:cs="宋体"/>
          <w:sz w:val="24"/>
          <w:szCs w:val="24"/>
        </w:rPr>
        <w:t>个工作日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质保期两年。</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采购</w:t>
      </w:r>
      <w:r>
        <w:rPr>
          <w:rFonts w:hint="eastAsia" w:ascii="宋体" w:hAnsi="宋体" w:eastAsia="宋体" w:cs="宋体"/>
          <w:sz w:val="24"/>
          <w:szCs w:val="24"/>
        </w:rPr>
        <w:t>限</w:t>
      </w:r>
      <w:r>
        <w:rPr>
          <w:rFonts w:hint="eastAsia" w:ascii="宋体" w:hAnsi="宋体" w:cs="宋体"/>
          <w:sz w:val="24"/>
          <w:szCs w:val="24"/>
          <w:lang w:val="en-US" w:eastAsia="zh-CN"/>
        </w:rPr>
        <w:t>价：</w:t>
      </w:r>
      <w:r>
        <w:rPr>
          <w:rFonts w:hint="eastAsia" w:ascii="宋体" w:hAnsi="宋体" w:eastAsia="宋体" w:cs="宋体"/>
          <w:sz w:val="24"/>
          <w:szCs w:val="24"/>
        </w:rPr>
        <w:t>12.5万元。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七</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color w:val="auto"/>
          <w:sz w:val="24"/>
          <w:szCs w:val="24"/>
          <w:highlight w:val="none"/>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6"/>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6"/>
        <w:rPr>
          <w:rFonts w:hint="eastAsia" w:ascii="宋体" w:hAnsi="宋体" w:eastAsia="宋体" w:cs="宋体"/>
          <w:sz w:val="24"/>
          <w:szCs w:val="24"/>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5"/>
        <w:rPr>
          <w:rFonts w:hint="eastAsia" w:ascii="宋体" w:hAnsi="宋体" w:eastAsia="宋体" w:cs="宋体"/>
          <w:b/>
          <w:bCs/>
          <w:color w:val="auto"/>
          <w:sz w:val="24"/>
          <w:szCs w:val="24"/>
          <w:highlight w:val="none"/>
        </w:rPr>
      </w:pPr>
    </w:p>
    <w:p>
      <w:pPr>
        <w:pStyle w:val="15"/>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0"/>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pStyle w:val="5"/>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6"/>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5"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6"/>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6"/>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6"/>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6"/>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6"/>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6"/>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6"/>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9"/>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bookmarkStart w:id="0" w:name="_GoBack"/>
      <w:bookmarkEnd w:id="0"/>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9"/>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1"/>
    <w:family w:val="auto"/>
    <w:pitch w:val="default"/>
    <w:sig w:usb0="E0000AFF" w:usb1="00007843" w:usb2="00000001" w:usb3="00000000" w:csb0="400001BF" w:csb1="DFF70000"/>
  </w:font>
  <w:font w:name="宋体">
    <w:altName w:val="汉仪书宋二KW"/>
    <w:panose1 w:val="02010600030101010101"/>
    <w:charset w:val="81"/>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5B0B92"/>
    <w:rsid w:val="00984987"/>
    <w:rsid w:val="00C41129"/>
    <w:rsid w:val="010E0F30"/>
    <w:rsid w:val="01582E9F"/>
    <w:rsid w:val="022561DB"/>
    <w:rsid w:val="024B5F91"/>
    <w:rsid w:val="037C4E46"/>
    <w:rsid w:val="03903C1F"/>
    <w:rsid w:val="04C176DC"/>
    <w:rsid w:val="05CD03BE"/>
    <w:rsid w:val="0A277760"/>
    <w:rsid w:val="0ACF324E"/>
    <w:rsid w:val="0B565E48"/>
    <w:rsid w:val="0CE1020E"/>
    <w:rsid w:val="0D272843"/>
    <w:rsid w:val="0D770891"/>
    <w:rsid w:val="0F4628CF"/>
    <w:rsid w:val="0F71729A"/>
    <w:rsid w:val="12BB52A2"/>
    <w:rsid w:val="13E76168"/>
    <w:rsid w:val="177F6166"/>
    <w:rsid w:val="19050DDA"/>
    <w:rsid w:val="192B394B"/>
    <w:rsid w:val="1B702E93"/>
    <w:rsid w:val="1C151423"/>
    <w:rsid w:val="1C962C76"/>
    <w:rsid w:val="1CE32D75"/>
    <w:rsid w:val="1D39247F"/>
    <w:rsid w:val="1E9514A0"/>
    <w:rsid w:val="1FD72787"/>
    <w:rsid w:val="2161289E"/>
    <w:rsid w:val="231A50A3"/>
    <w:rsid w:val="24155071"/>
    <w:rsid w:val="24634140"/>
    <w:rsid w:val="24DB0907"/>
    <w:rsid w:val="25101CDA"/>
    <w:rsid w:val="25C97BEE"/>
    <w:rsid w:val="26E41B28"/>
    <w:rsid w:val="281955CF"/>
    <w:rsid w:val="2A044599"/>
    <w:rsid w:val="2A0F7B8F"/>
    <w:rsid w:val="2B05240B"/>
    <w:rsid w:val="2BF4266B"/>
    <w:rsid w:val="2CF3776A"/>
    <w:rsid w:val="2D611200"/>
    <w:rsid w:val="31E9143D"/>
    <w:rsid w:val="333E29F7"/>
    <w:rsid w:val="34BE33D7"/>
    <w:rsid w:val="361A126B"/>
    <w:rsid w:val="36545D30"/>
    <w:rsid w:val="37671CCB"/>
    <w:rsid w:val="388A5554"/>
    <w:rsid w:val="39EA94DD"/>
    <w:rsid w:val="3A5708B7"/>
    <w:rsid w:val="3B0954D1"/>
    <w:rsid w:val="3B9F29DF"/>
    <w:rsid w:val="3C6234CA"/>
    <w:rsid w:val="3E3C3D7F"/>
    <w:rsid w:val="3F0F3FAB"/>
    <w:rsid w:val="40990E0B"/>
    <w:rsid w:val="416247C4"/>
    <w:rsid w:val="47024066"/>
    <w:rsid w:val="48911F9D"/>
    <w:rsid w:val="4AF20173"/>
    <w:rsid w:val="4BAE772A"/>
    <w:rsid w:val="4BF835B4"/>
    <w:rsid w:val="4C8B4D21"/>
    <w:rsid w:val="4CEA1A71"/>
    <w:rsid w:val="4DC3281F"/>
    <w:rsid w:val="4F737FE7"/>
    <w:rsid w:val="50FF2FF1"/>
    <w:rsid w:val="518B59E0"/>
    <w:rsid w:val="51F54803"/>
    <w:rsid w:val="5244176A"/>
    <w:rsid w:val="54F21968"/>
    <w:rsid w:val="559E7B87"/>
    <w:rsid w:val="55B9292F"/>
    <w:rsid w:val="574F6249"/>
    <w:rsid w:val="57856723"/>
    <w:rsid w:val="58071A1F"/>
    <w:rsid w:val="5B245915"/>
    <w:rsid w:val="5BFA4673"/>
    <w:rsid w:val="5F0C6580"/>
    <w:rsid w:val="5F4C5CE4"/>
    <w:rsid w:val="5F5D7283"/>
    <w:rsid w:val="606964BC"/>
    <w:rsid w:val="61E437AA"/>
    <w:rsid w:val="626165F7"/>
    <w:rsid w:val="63545F00"/>
    <w:rsid w:val="64BB2F53"/>
    <w:rsid w:val="695967E4"/>
    <w:rsid w:val="69BA1577"/>
    <w:rsid w:val="69D6310A"/>
    <w:rsid w:val="6AB16F19"/>
    <w:rsid w:val="6B405AFC"/>
    <w:rsid w:val="6DBBCDEC"/>
    <w:rsid w:val="6F7F20D5"/>
    <w:rsid w:val="70BB07B2"/>
    <w:rsid w:val="72F06D27"/>
    <w:rsid w:val="739065EB"/>
    <w:rsid w:val="73F26EC8"/>
    <w:rsid w:val="76E16AC1"/>
    <w:rsid w:val="78C706B5"/>
    <w:rsid w:val="79692C7D"/>
    <w:rsid w:val="7A4E678D"/>
    <w:rsid w:val="7B29461C"/>
    <w:rsid w:val="7C6543A4"/>
    <w:rsid w:val="7CC03557"/>
    <w:rsid w:val="7E345685"/>
    <w:rsid w:val="FB1FB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Body Text Indent"/>
    <w:basedOn w:val="1"/>
    <w:qFormat/>
    <w:uiPriority w:val="0"/>
    <w:pPr>
      <w:ind w:firstLine="630"/>
    </w:pPr>
    <w:rPr>
      <w:sz w:val="32"/>
      <w:szCs w:val="20"/>
    </w:rPr>
  </w:style>
  <w:style w:type="paragraph" w:styleId="5">
    <w:name w:val="Plain Text"/>
    <w:basedOn w:val="1"/>
    <w:qFormat/>
    <w:uiPriority w:val="0"/>
    <w:pPr>
      <w:spacing w:line="460" w:lineRule="exact"/>
      <w:ind w:firstLine="567"/>
    </w:pPr>
    <w:rPr>
      <w:rFonts w:ascii="宋体" w:hAnsi="Courier New" w:eastAsia="仿宋_GB2312"/>
      <w:sz w:val="28"/>
      <w:szCs w:val="20"/>
    </w:rPr>
  </w:style>
  <w:style w:type="paragraph" w:styleId="6">
    <w:name w:val="toc 1"/>
    <w:basedOn w:val="1"/>
    <w:next w:val="1"/>
    <w:qFormat/>
    <w:uiPriority w:val="0"/>
    <w:pPr>
      <w:spacing w:line="180" w:lineRule="auto"/>
      <w:jc w:val="center"/>
    </w:pPr>
    <w:rPr>
      <w:sz w:val="30"/>
    </w:rPr>
  </w:style>
  <w:style w:type="paragraph" w:styleId="7">
    <w:name w:val="footnote text"/>
    <w:basedOn w:val="1"/>
    <w:qFormat/>
    <w:uiPriority w:val="99"/>
    <w:pPr>
      <w:snapToGrid w:val="0"/>
      <w:jc w:val="left"/>
    </w:pPr>
    <w:rPr>
      <w:rFonts w:ascii="宋体" w:hAnsi="Times New Roman" w:eastAsia="宋体" w:cs="Times New Roman"/>
      <w:kern w:val="0"/>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qFormat/>
    <w:uiPriority w:val="0"/>
    <w:pPr>
      <w:ind w:firstLine="420"/>
    </w:pPr>
  </w:style>
  <w:style w:type="table" w:styleId="11">
    <w:name w:val="Table Grid"/>
    <w:basedOn w:val="10"/>
    <w:qFormat/>
    <w:uiPriority w:val="39"/>
    <w:pPr>
      <w:widowControl w:val="0"/>
      <w:spacing w:before="50" w:beforeLines="50" w:after="50" w:afterLines="5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2023-09-14T16:34:00Z</dcterms:created>
  <dc:creator>罗珊珊</dc:creator>
  <cp:lastModifiedBy>罗珊珊</cp:lastModifiedBy>
  <dcterms:modified xsi:type="dcterms:W3CDTF">2023-11-15T19:54:24Z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796B92C70F0F4764B01F0098AFD1D00F_12</vt:lpwstr>
  </property>
</Properties>
</file>