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p>
    <w:p>
      <w:pPr>
        <w:pStyle w:val="3"/>
        <w:shd w:val="clear"/>
        <w:spacing w:after="0" w:line="360" w:lineRule="auto"/>
        <w:ind w:firstLine="236" w:firstLineChars="98"/>
        <w:rPr>
          <w:rFonts w:hint="eastAsia" w:ascii="宋体" w:hAnsi="宋体" w:eastAsia="宋体" w:cs="仿宋"/>
          <w:sz w:val="24"/>
          <w:szCs w:val="24"/>
          <w:lang w:eastAsia="zh-CN"/>
        </w:rPr>
      </w:pPr>
      <w:r>
        <w:rPr>
          <w:rFonts w:hint="eastAsia" w:ascii="宋体" w:hAnsi="宋体" w:eastAsia="宋体" w:cs="仿宋"/>
          <w:sz w:val="24"/>
          <w:szCs w:val="24"/>
        </w:rPr>
        <w:t>一、采购项目编号：SCFY-YXZB202311-008（询）</w:t>
      </w:r>
    </w:p>
    <w:p>
      <w:pPr>
        <w:pStyle w:val="3"/>
        <w:shd w:val="clear"/>
        <w:spacing w:after="0" w:line="360" w:lineRule="auto"/>
        <w:ind w:firstLine="236" w:firstLineChars="98"/>
        <w:rPr>
          <w:rFonts w:ascii="宋体" w:hAnsi="宋体" w:eastAsia="宋体" w:cs="仿宋"/>
          <w:sz w:val="24"/>
          <w:szCs w:val="24"/>
        </w:rPr>
      </w:pPr>
      <w:r>
        <w:rPr>
          <w:rFonts w:hint="eastAsia" w:ascii="宋体" w:hAnsi="宋体" w:eastAsia="宋体" w:cs="仿宋"/>
          <w:sz w:val="24"/>
          <w:szCs w:val="24"/>
        </w:rPr>
        <w:t>二、年度采购预算：</w:t>
      </w:r>
      <w:r>
        <w:rPr>
          <w:rFonts w:hint="eastAsia" w:ascii="宋体" w:hAnsi="宋体" w:eastAsia="宋体" w:cs="仿宋"/>
          <w:sz w:val="24"/>
          <w:szCs w:val="24"/>
          <w:lang w:val="en-US" w:eastAsia="zh-CN"/>
        </w:rPr>
        <w:t>0.6</w:t>
      </w:r>
      <w:r>
        <w:rPr>
          <w:rFonts w:hint="eastAsia" w:ascii="宋体" w:hAnsi="宋体" w:eastAsia="宋体" w:cs="仿宋"/>
          <w:sz w:val="24"/>
          <w:szCs w:val="24"/>
        </w:rPr>
        <w:t>万元/年</w:t>
      </w:r>
    </w:p>
    <w:p>
      <w:pPr>
        <w:pStyle w:val="3"/>
        <w:shd w:val="clear"/>
        <w:spacing w:after="0" w:line="360" w:lineRule="auto"/>
        <w:ind w:firstLine="236" w:firstLineChars="98"/>
        <w:rPr>
          <w:rFonts w:ascii="宋体" w:hAnsi="宋体" w:eastAsia="宋体" w:cs="仿宋"/>
          <w:sz w:val="24"/>
          <w:szCs w:val="24"/>
        </w:rPr>
      </w:pPr>
      <w:r>
        <w:rPr>
          <w:rFonts w:hint="eastAsia" w:ascii="宋体" w:hAnsi="宋体" w:eastAsia="宋体" w:cs="仿宋"/>
          <w:sz w:val="24"/>
          <w:szCs w:val="24"/>
        </w:rPr>
        <w:t xml:space="preserve">三、 </w:t>
      </w:r>
      <w:bookmarkEnd w:id="0"/>
      <w:bookmarkStart w:id="1" w:name="_Toc217446095"/>
      <w:r>
        <w:rPr>
          <w:rFonts w:hint="eastAsia" w:ascii="宋体" w:hAnsi="宋体" w:eastAsia="宋体" w:cs="仿宋"/>
          <w:sz w:val="24"/>
          <w:szCs w:val="24"/>
        </w:rPr>
        <w:t>项目清单及技术</w:t>
      </w:r>
      <w:r>
        <w:rPr>
          <w:rFonts w:hint="eastAsia" w:ascii="宋体" w:hAnsi="宋体" w:eastAsia="宋体" w:cs="仿宋"/>
          <w:sz w:val="24"/>
          <w:szCs w:val="24"/>
          <w:lang w:eastAsia="zh-CN"/>
        </w:rPr>
        <w:t>、</w:t>
      </w:r>
      <w:r>
        <w:rPr>
          <w:rFonts w:hint="eastAsia" w:ascii="宋体" w:hAnsi="宋体" w:eastAsia="宋体" w:cs="仿宋"/>
          <w:sz w:val="24"/>
          <w:szCs w:val="24"/>
          <w:lang w:val="en-US" w:eastAsia="zh-CN"/>
        </w:rPr>
        <w:t>商务</w:t>
      </w:r>
      <w:r>
        <w:rPr>
          <w:rFonts w:hint="eastAsia" w:ascii="宋体" w:hAnsi="宋体" w:eastAsia="宋体" w:cs="仿宋"/>
          <w:sz w:val="24"/>
          <w:szCs w:val="24"/>
        </w:rPr>
        <w:t>要求：</w:t>
      </w:r>
    </w:p>
    <w:bookmarkEnd w:id="1"/>
    <w:tbl>
      <w:tblPr>
        <w:tblStyle w:val="12"/>
        <w:tblW w:w="4966"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591"/>
        <w:gridCol w:w="1248"/>
        <w:gridCol w:w="1248"/>
        <w:gridCol w:w="1402"/>
        <w:gridCol w:w="4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right"/>
        </w:trPr>
        <w:tc>
          <w:tcPr>
            <w:tcW w:w="373" w:type="pct"/>
            <w:vMerge w:val="restart"/>
            <w:noWrap w:val="0"/>
            <w:vAlign w:val="center"/>
          </w:tcPr>
          <w:p>
            <w:pPr>
              <w:shd w:val="clea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hd w:val="clea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298" w:type="pct"/>
            <w:noWrap w:val="0"/>
            <w:vAlign w:val="center"/>
          </w:tcPr>
          <w:p>
            <w:pPr>
              <w:shd w:val="clear"/>
              <w:autoSpaceDE w:val="0"/>
              <w:autoSpaceDN w:val="0"/>
              <w:jc w:val="center"/>
              <w:rPr>
                <w:rFonts w:ascii="宋体" w:hAnsi="宋体"/>
                <w:b/>
                <w:sz w:val="18"/>
                <w:szCs w:val="18"/>
              </w:rPr>
            </w:pPr>
            <w:r>
              <w:rPr>
                <w:rFonts w:hint="eastAsia" w:ascii="宋体" w:hAnsi="宋体"/>
                <w:b/>
                <w:sz w:val="18"/>
                <w:szCs w:val="18"/>
              </w:rPr>
              <w:t>序号</w:t>
            </w:r>
          </w:p>
        </w:tc>
        <w:tc>
          <w:tcPr>
            <w:tcW w:w="630" w:type="pct"/>
            <w:noWrap w:val="0"/>
            <w:vAlign w:val="center"/>
          </w:tcPr>
          <w:p>
            <w:pPr>
              <w:shd w:val="clear"/>
              <w:autoSpaceDE w:val="0"/>
              <w:autoSpaceDN w:val="0"/>
              <w:jc w:val="center"/>
              <w:rPr>
                <w:rFonts w:ascii="宋体" w:hAnsi="宋体"/>
                <w:b/>
                <w:sz w:val="18"/>
                <w:szCs w:val="18"/>
              </w:rPr>
            </w:pPr>
            <w:r>
              <w:rPr>
                <w:rFonts w:ascii="宋体" w:hAnsi="宋体"/>
                <w:b/>
                <w:sz w:val="18"/>
                <w:szCs w:val="18"/>
              </w:rPr>
              <w:t>产品名称</w:t>
            </w:r>
          </w:p>
        </w:tc>
        <w:tc>
          <w:tcPr>
            <w:tcW w:w="630" w:type="pct"/>
            <w:noWrap w:val="0"/>
            <w:vAlign w:val="center"/>
          </w:tcPr>
          <w:p>
            <w:pPr>
              <w:shd w:val="clea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708" w:type="pct"/>
            <w:noWrap w:val="0"/>
            <w:vAlign w:val="center"/>
          </w:tcPr>
          <w:p>
            <w:pPr>
              <w:shd w:val="clea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shd w:val="clear"/>
              <w:autoSpaceDE w:val="0"/>
              <w:autoSpaceDN w:val="0"/>
              <w:jc w:val="center"/>
              <w:rPr>
                <w:rFonts w:ascii="宋体" w:hAnsi="宋体"/>
                <w:b/>
                <w:sz w:val="18"/>
                <w:szCs w:val="18"/>
              </w:rPr>
            </w:pPr>
            <w:r>
              <w:rPr>
                <w:rFonts w:hint="eastAsia" w:ascii="宋体" w:hAnsi="宋体"/>
                <w:b/>
                <w:sz w:val="18"/>
                <w:szCs w:val="18"/>
                <w:lang w:val="en-US" w:eastAsia="zh-CN"/>
              </w:rPr>
              <w:t>用</w:t>
            </w:r>
            <w:r>
              <w:rPr>
                <w:rFonts w:hint="eastAsia" w:ascii="宋体" w:hAnsi="宋体"/>
                <w:b/>
                <w:sz w:val="18"/>
                <w:szCs w:val="18"/>
              </w:rPr>
              <w:t>量</w:t>
            </w:r>
          </w:p>
        </w:tc>
        <w:tc>
          <w:tcPr>
            <w:tcW w:w="2358" w:type="pct"/>
            <w:noWrap w:val="0"/>
            <w:vAlign w:val="center"/>
          </w:tcPr>
          <w:p>
            <w:pPr>
              <w:shd w:val="clea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right"/>
        </w:trPr>
        <w:tc>
          <w:tcPr>
            <w:tcW w:w="373" w:type="pct"/>
            <w:vMerge w:val="continue"/>
            <w:noWrap w:val="0"/>
            <w:vAlign w:val="center"/>
          </w:tcPr>
          <w:p>
            <w:pPr>
              <w:shd w:val="clear"/>
              <w:spacing w:line="420" w:lineRule="exact"/>
              <w:jc w:val="center"/>
              <w:rPr>
                <w:rFonts w:hint="eastAsia" w:cs="宋体"/>
                <w:color w:val="000000"/>
                <w:kern w:val="0"/>
              </w:rPr>
            </w:pPr>
          </w:p>
        </w:tc>
        <w:tc>
          <w:tcPr>
            <w:tcW w:w="298" w:type="pct"/>
            <w:noWrap w:val="0"/>
            <w:vAlign w:val="center"/>
          </w:tcPr>
          <w:p>
            <w:pPr>
              <w:shd w:val="clear"/>
              <w:autoSpaceDE w:val="0"/>
              <w:autoSpaceDN w:val="0"/>
              <w:jc w:val="center"/>
              <w:rPr>
                <w:rFonts w:ascii="宋体" w:hAnsi="宋体"/>
                <w:kern w:val="2"/>
                <w:sz w:val="21"/>
                <w:szCs w:val="21"/>
                <w:lang w:val="en-US" w:eastAsia="zh-CN" w:bidi="ar-SA"/>
              </w:rPr>
            </w:pPr>
            <w:r>
              <w:rPr>
                <w:rFonts w:hint="eastAsia" w:ascii="宋体" w:hAnsi="宋体"/>
                <w:sz w:val="21"/>
                <w:szCs w:val="21"/>
              </w:rPr>
              <w:t>1</w:t>
            </w:r>
          </w:p>
        </w:tc>
        <w:tc>
          <w:tcPr>
            <w:tcW w:w="630" w:type="pct"/>
            <w:noWrap w:val="0"/>
            <w:vAlign w:val="center"/>
          </w:tcPr>
          <w:p>
            <w:pPr>
              <w:widowControl/>
              <w:shd w:val="clear"/>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lang w:val="en-US" w:eastAsia="zh-CN"/>
              </w:rPr>
              <w:t>荧光素钠眼科检测试纸</w:t>
            </w:r>
          </w:p>
        </w:tc>
        <w:tc>
          <w:tcPr>
            <w:tcW w:w="630" w:type="pct"/>
            <w:noWrap w:val="0"/>
            <w:vAlign w:val="center"/>
          </w:tcPr>
          <w:p>
            <w:pPr>
              <w:widowControl/>
              <w:shd w:val="clear"/>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6元</w:t>
            </w:r>
          </w:p>
        </w:tc>
        <w:tc>
          <w:tcPr>
            <w:tcW w:w="708" w:type="pct"/>
            <w:noWrap w:val="0"/>
            <w:vAlign w:val="center"/>
          </w:tcPr>
          <w:p>
            <w:pPr>
              <w:widowControl/>
              <w:shd w:val="clear"/>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1000条</w:t>
            </w:r>
          </w:p>
        </w:tc>
        <w:tc>
          <w:tcPr>
            <w:tcW w:w="2358" w:type="pct"/>
            <w:noWrap w:val="0"/>
            <w:vAlign w:val="top"/>
          </w:tcPr>
          <w:p>
            <w:pPr>
              <w:widowControl/>
              <w:shd w:val="clear"/>
              <w:jc w:val="both"/>
              <w:textAlignment w:val="center"/>
              <w:rPr>
                <w:rFonts w:hint="eastAsia"/>
                <w:lang w:val="en-US" w:eastAsia="zh-CN"/>
              </w:rPr>
            </w:pPr>
            <w:r>
              <w:rPr>
                <w:rFonts w:hint="eastAsia"/>
                <w:lang w:val="en-US" w:eastAsia="zh-CN"/>
              </w:rPr>
              <w:t>用途：用于角膜荧光素染色检查、角膜塑形镜验配及复查等。</w:t>
            </w:r>
          </w:p>
          <w:p>
            <w:pPr>
              <w:widowControl/>
              <w:numPr>
                <w:ilvl w:val="0"/>
                <w:numId w:val="0"/>
              </w:numPr>
              <w:shd w:val="clear"/>
              <w:jc w:val="both"/>
              <w:textAlignment w:val="center"/>
              <w:rPr>
                <w:rFonts w:hint="eastAsia"/>
                <w:lang w:val="en-US" w:eastAsia="zh-CN"/>
              </w:rPr>
            </w:pPr>
            <w:r>
              <w:rPr>
                <w:rFonts w:hint="eastAsia" w:ascii="Times New Roman" w:hAnsi="Times New Roman" w:eastAsia="宋体" w:cs="Times New Roman"/>
              </w:rPr>
              <w:t>▲</w:t>
            </w:r>
            <w:r>
              <w:rPr>
                <w:rFonts w:hint="eastAsia" w:cs="Times New Roman"/>
                <w:lang w:val="en-US" w:eastAsia="zh-CN"/>
              </w:rPr>
              <w:t>1、</w:t>
            </w:r>
            <w:r>
              <w:rPr>
                <w:rFonts w:hint="eastAsia"/>
                <w:lang w:val="en-US" w:eastAsia="zh-CN"/>
              </w:rPr>
              <w:t>泪液分泌功能测定。</w:t>
            </w:r>
          </w:p>
          <w:p>
            <w:pPr>
              <w:pStyle w:val="2"/>
              <w:numPr>
                <w:ilvl w:val="0"/>
                <w:numId w:val="0"/>
              </w:numPr>
              <w:shd w:val="clear"/>
              <w:rPr>
                <w:rFonts w:hint="default"/>
                <w:lang w:val="en-US" w:eastAsia="zh-CN"/>
              </w:rPr>
            </w:pPr>
            <w:r>
              <w:rPr>
                <w:rFonts w:hint="eastAsia" w:ascii="Times New Roman" w:hAnsi="Times New Roman" w:eastAsia="宋体" w:cs="Times New Roman"/>
              </w:rPr>
              <w:t>▲</w:t>
            </w:r>
            <w:r>
              <w:rPr>
                <w:rFonts w:hint="eastAsia" w:cs="Times New Roman"/>
                <w:lang w:val="en-US" w:eastAsia="zh-CN"/>
              </w:rPr>
              <w:t>2、</w:t>
            </w:r>
            <w:r>
              <w:rPr>
                <w:rFonts w:hint="default"/>
                <w:lang w:val="en-US" w:eastAsia="zh-CN"/>
              </w:rPr>
              <w:t>由浸有荧光素纳的滤纸及手柄组成。</w:t>
            </w:r>
          </w:p>
          <w:p>
            <w:pPr>
              <w:pStyle w:val="2"/>
              <w:numPr>
                <w:ilvl w:val="0"/>
                <w:numId w:val="0"/>
              </w:numPr>
              <w:shd w:val="clear"/>
              <w:rPr>
                <w:rFonts w:hint="eastAsia"/>
                <w:lang w:val="en-US" w:eastAsia="zh-CN"/>
              </w:rPr>
            </w:pPr>
            <w:r>
              <w:rPr>
                <w:rFonts w:hint="eastAsia" w:ascii="Times New Roman" w:hAnsi="Times New Roman" w:eastAsia="宋体" w:cs="Times New Roman"/>
              </w:rPr>
              <w:t>▲</w:t>
            </w:r>
            <w:r>
              <w:rPr>
                <w:rFonts w:hint="eastAsia" w:cs="Times New Roman"/>
                <w:lang w:val="en-US" w:eastAsia="zh-CN"/>
              </w:rPr>
              <w:t>3、</w:t>
            </w:r>
            <w:r>
              <w:rPr>
                <w:rFonts w:hint="eastAsia"/>
                <w:lang w:val="en-US" w:eastAsia="zh-CN"/>
              </w:rPr>
              <w:t>产品外观切边整齐、无毛边、无裂口，试纸条无肉眼可见的杂质。</w:t>
            </w:r>
          </w:p>
          <w:p>
            <w:pPr>
              <w:pStyle w:val="2"/>
              <w:numPr>
                <w:ilvl w:val="0"/>
                <w:numId w:val="0"/>
              </w:numPr>
              <w:shd w:val="clear"/>
              <w:rPr>
                <w:rFonts w:hint="default"/>
                <w:lang w:val="en-US" w:eastAsia="zh-CN"/>
              </w:rPr>
            </w:pPr>
            <w:r>
              <w:rPr>
                <w:rFonts w:hint="eastAsia" w:ascii="Times New Roman" w:hAnsi="Times New Roman" w:eastAsia="宋体" w:cs="Times New Roman"/>
              </w:rPr>
              <w:t>▲</w:t>
            </w:r>
            <w:r>
              <w:rPr>
                <w:rFonts w:hint="eastAsia" w:cs="Times New Roman"/>
                <w:lang w:val="en-US" w:eastAsia="zh-CN"/>
              </w:rPr>
              <w:t>4、</w:t>
            </w:r>
            <w:r>
              <w:rPr>
                <w:rFonts w:hint="eastAsia"/>
                <w:lang w:val="en-US" w:eastAsia="zh-CN"/>
              </w:rPr>
              <w:t>1条/袋包装，无菌，一次性使用。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right"/>
        </w:trPr>
        <w:tc>
          <w:tcPr>
            <w:tcW w:w="373" w:type="pct"/>
            <w:noWrap w:val="0"/>
            <w:vAlign w:val="center"/>
          </w:tcPr>
          <w:p>
            <w:pPr>
              <w:shd w:val="clear"/>
              <w:spacing w:line="420" w:lineRule="exact"/>
              <w:jc w:val="center"/>
              <w:rPr>
                <w:rFonts w:hint="eastAsia" w:cs="宋体"/>
                <w:color w:val="000000"/>
                <w:kern w:val="0"/>
              </w:rPr>
            </w:pPr>
            <w:r>
              <w:rPr>
                <w:rFonts w:hint="eastAsia" w:cs="宋体"/>
                <w:color w:val="000000"/>
                <w:kern w:val="0"/>
              </w:rPr>
              <w:t>商务</w:t>
            </w:r>
          </w:p>
          <w:p>
            <w:pPr>
              <w:shd w:val="clear"/>
              <w:spacing w:line="420" w:lineRule="exact"/>
              <w:jc w:val="center"/>
              <w:rPr>
                <w:rFonts w:hint="eastAsia" w:cs="宋体"/>
                <w:color w:val="000000"/>
                <w:kern w:val="0"/>
              </w:rPr>
            </w:pPr>
            <w:r>
              <w:rPr>
                <w:rFonts w:hint="eastAsia" w:cs="宋体"/>
                <w:color w:val="000000"/>
                <w:kern w:val="0"/>
              </w:rPr>
              <w:t>要求</w:t>
            </w:r>
          </w:p>
        </w:tc>
        <w:tc>
          <w:tcPr>
            <w:tcW w:w="4626" w:type="pct"/>
            <w:gridSpan w:val="5"/>
            <w:shd w:val="clear" w:color="auto" w:fill="auto"/>
            <w:noWrap w:val="0"/>
            <w:vAlign w:val="center"/>
          </w:tcPr>
          <w:p>
            <w:pPr>
              <w:pStyle w:val="2"/>
              <w:shd w:val="clear"/>
              <w:rPr>
                <w:rFonts w:hint="eastAsia" w:ascii="Times New Roman" w:hAnsi="Times New Roman" w:eastAsia="宋体" w:cs="Times New Roman"/>
              </w:rPr>
            </w:pPr>
            <w:r>
              <w:rPr>
                <w:rFonts w:hint="eastAsia" w:ascii="Times New Roman" w:hAnsi="Times New Roman" w:eastAsia="宋体" w:cs="Times New Roman"/>
              </w:rPr>
              <w:t>▲1.供货期限：3年，采购数量以实际使用量为准。</w:t>
            </w:r>
          </w:p>
          <w:p>
            <w:pPr>
              <w:pStyle w:val="2"/>
              <w:shd w:val="clear"/>
              <w:rPr>
                <w:rFonts w:hint="eastAsia" w:ascii="Times New Roman" w:hAnsi="Times New Roman" w:eastAsia="宋体" w:cs="Times New Roman"/>
              </w:rPr>
            </w:pPr>
            <w:r>
              <w:rPr>
                <w:rFonts w:hint="eastAsia" w:ascii="Times New Roman" w:hAnsi="Times New Roman" w:eastAsia="宋体" w:cs="Times New Roman"/>
              </w:rPr>
              <w:t>▲</w:t>
            </w:r>
            <w:r>
              <w:rPr>
                <w:rFonts w:hint="eastAsia" w:cs="Times New Roman"/>
                <w:lang w:val="en-US" w:eastAsia="zh-CN"/>
              </w:rPr>
              <w:t>2</w:t>
            </w:r>
            <w:r>
              <w:rPr>
                <w:rFonts w:hint="eastAsia" w:ascii="Times New Roman" w:hAnsi="Times New Roman" w:eastAsia="宋体" w:cs="Times New Roman"/>
              </w:rPr>
              <w:t>.合同结算：本项目的“预估</w:t>
            </w:r>
            <w:r>
              <w:rPr>
                <w:rFonts w:hint="eastAsia" w:ascii="Times New Roman" w:hAnsi="Times New Roman" w:eastAsia="宋体" w:cs="Times New Roman"/>
                <w:lang w:val="en-US" w:eastAsia="zh-CN"/>
              </w:rPr>
              <w:t>年度用</w:t>
            </w:r>
            <w:r>
              <w:rPr>
                <w:rFonts w:hint="eastAsia" w:ascii="Times New Roman" w:hAnsi="Times New Roman" w:eastAsia="宋体" w:cs="Times New Roman"/>
              </w:rPr>
              <w:t>量”、 供应商的“投标总价”仅做为报价评审依据，最终根据实际需求进行相应调整，结算以实际发生量乘以</w:t>
            </w:r>
            <w:r>
              <w:rPr>
                <w:rFonts w:hint="eastAsia" w:ascii="Times New Roman" w:hAnsi="Times New Roman" w:eastAsia="宋体" w:cs="Times New Roman"/>
                <w:lang w:val="en-US" w:eastAsia="zh-CN"/>
              </w:rPr>
              <w:t>产品</w:t>
            </w:r>
            <w:r>
              <w:rPr>
                <w:rFonts w:hint="eastAsia" w:ascii="Times New Roman" w:hAnsi="Times New Roman" w:eastAsia="宋体" w:cs="Times New Roman"/>
              </w:rPr>
              <w:t>单价结算。</w:t>
            </w:r>
          </w:p>
          <w:p>
            <w:pPr>
              <w:pStyle w:val="2"/>
              <w:shd w:val="clear"/>
              <w:rPr>
                <w:rFonts w:hint="eastAsia" w:ascii="宋体" w:hAnsi="宋体" w:cs="Segoe UI"/>
                <w:color w:val="333333"/>
                <w:spacing w:val="8"/>
                <w:kern w:val="0"/>
                <w:sz w:val="18"/>
                <w:szCs w:val="18"/>
              </w:rPr>
            </w:pPr>
            <w:r>
              <w:rPr>
                <w:rFonts w:hint="eastAsia" w:ascii="Times New Roman" w:hAnsi="Times New Roman" w:eastAsia="宋体" w:cs="Times New Roman"/>
              </w:rPr>
              <w:t>备注: 以上打▲号的条款为本次招标项目的实质性要求，不允许有负偏离。</w:t>
            </w:r>
          </w:p>
        </w:tc>
      </w:tr>
    </w:tbl>
    <w:p>
      <w:pPr>
        <w:widowControl/>
        <w:shd w:val="clear"/>
        <w:spacing w:line="360" w:lineRule="auto"/>
        <w:jc w:val="left"/>
        <w:rPr>
          <w:rFonts w:ascii="宋体" w:hAnsi="宋体" w:eastAsia="宋体" w:cs="Segoe UI"/>
          <w:b/>
          <w:bCs/>
          <w:kern w:val="0"/>
          <w:sz w:val="28"/>
          <w:szCs w:val="28"/>
        </w:rPr>
      </w:pPr>
    </w:p>
    <w:p>
      <w:pPr>
        <w:shd w:val="clear"/>
        <w:rPr>
          <w:rFonts w:ascii="宋体" w:hAnsi="宋体" w:eastAsia="宋体" w:cs="Segoe UI"/>
          <w:b/>
          <w:bCs/>
          <w:kern w:val="0"/>
          <w:sz w:val="28"/>
          <w:szCs w:val="28"/>
        </w:rPr>
      </w:pPr>
      <w:r>
        <w:rPr>
          <w:rFonts w:hint="eastAsia" w:ascii="宋体" w:hAnsi="宋体" w:eastAsia="宋体" w:cs="Segoe UI"/>
          <w:b/>
          <w:bCs/>
          <w:kern w:val="0"/>
          <w:sz w:val="28"/>
          <w:szCs w:val="28"/>
        </w:rPr>
        <w:br w:type="page"/>
      </w:r>
    </w:p>
    <w:p>
      <w:pPr>
        <w:widowControl/>
        <w:shd w:val="clear"/>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1、封面（公司、项目、联系人、联系方式）</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2、目录</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3、品目及报价表（格式见附件4）</w:t>
      </w:r>
    </w:p>
    <w:p>
      <w:pPr>
        <w:widowControl/>
        <w:shd w:val="clear" w:color="auto"/>
        <w:wordWrap w:val="0"/>
        <w:ind w:firstLine="512"/>
        <w:jc w:val="left"/>
        <w:rPr>
          <w:rFonts w:ascii="仿宋_GB2312" w:hAnsi="Segoe UI" w:eastAsia="仿宋_GB2312" w:cs="Segoe UI"/>
          <w:color w:val="000000" w:themeColor="text1"/>
          <w:spacing w:val="8"/>
          <w:kern w:val="0"/>
          <w:sz w:val="24"/>
          <w:szCs w:val="24"/>
        </w:rPr>
      </w:pPr>
      <w:r>
        <w:rPr>
          <w:rFonts w:hint="eastAsia" w:ascii="仿宋_GB2312" w:hAnsi="Segoe UI" w:eastAsia="仿宋_GB2312" w:cs="Segoe UI"/>
          <w:color w:val="000000" w:themeColor="text1"/>
          <w:spacing w:val="8"/>
          <w:kern w:val="0"/>
          <w:sz w:val="24"/>
          <w:szCs w:val="24"/>
        </w:rPr>
        <w:t>4、规格型号、配置及偏离表（格式见附件4）</w:t>
      </w:r>
    </w:p>
    <w:p>
      <w:pPr>
        <w:widowControl/>
        <w:shd w:val="clear" w:color="auto"/>
        <w:wordWrap w:val="0"/>
        <w:ind w:firstLine="512"/>
        <w:jc w:val="left"/>
        <w:rPr>
          <w:rFonts w:hint="eastAsia" w:ascii="仿宋_GB2312" w:hAnsi="Segoe UI" w:eastAsia="仿宋_GB2312" w:cs="Segoe UI"/>
          <w:spacing w:val="8"/>
          <w:kern w:val="0"/>
          <w:sz w:val="24"/>
          <w:szCs w:val="24"/>
        </w:rPr>
      </w:pPr>
      <w:r>
        <w:rPr>
          <w:rFonts w:hint="eastAsia" w:ascii="仿宋_GB2312" w:hAnsi="Segoe UI" w:eastAsia="仿宋_GB2312" w:cs="Segoe UI"/>
          <w:spacing w:val="8"/>
          <w:kern w:val="0"/>
          <w:sz w:val="24"/>
          <w:szCs w:val="24"/>
        </w:rPr>
        <w:t>5、承诺函（格式见附件4）</w:t>
      </w:r>
    </w:p>
    <w:p>
      <w:pPr>
        <w:widowControl/>
        <w:shd w:val="clear" w:color="auto"/>
        <w:wordWrap w:val="0"/>
        <w:ind w:firstLine="512"/>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6、企业营业执照（复印件）</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9、生产厂家授权书（投标人不是生产厂家的）</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11、如是医疗器械，须提供“医疗器械产品注册证和注册登记表”（复印件）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16、产品质量及货源保证书</w:t>
      </w:r>
    </w:p>
    <w:p>
      <w:pPr>
        <w:widowControl/>
        <w:shd w:val="clear" w:color="auto"/>
        <w:wordWrap w:val="0"/>
        <w:ind w:firstLine="51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18、如有，提供进口原材料证明书或产品报关资料等</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p>
    <w:p>
      <w:pPr>
        <w:widowControl/>
        <w:shd w:val="clear" w:color="auto"/>
        <w:wordWrap w:val="0"/>
        <w:ind w:firstLine="512"/>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21、如有，国家规定的其它相关资质证明文件或其它涉及特许经营许可的须提供相关证书。如：卫生许可证、药品经营许可证、生产批件或新药证书等；</w:t>
      </w:r>
    </w:p>
    <w:p>
      <w:pPr>
        <w:widowControl/>
        <w:shd w:val="clear" w:color="auto"/>
        <w:wordWrap w:val="0"/>
        <w:ind w:firstLine="480"/>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22、社保缴纳证明；</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23、</w:t>
      </w:r>
      <w:r>
        <w:rPr>
          <w:rFonts w:hint="eastAsia" w:ascii="仿宋_GB2312" w:hAnsi="Segoe UI" w:eastAsia="仿宋_GB2312" w:cs="Segoe UI"/>
          <w:color w:val="000000" w:themeColor="text1"/>
          <w:spacing w:val="8"/>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shd w:val="clear"/>
        <w:tabs>
          <w:tab w:val="left" w:pos="720"/>
        </w:tabs>
        <w:spacing w:line="400" w:lineRule="exact"/>
        <w:jc w:val="center"/>
        <w:rPr>
          <w:rFonts w:ascii="仿宋" w:hAnsi="仿宋" w:eastAsia="仿宋" w:cs="仿宋"/>
        </w:rPr>
      </w:pPr>
      <w:bookmarkStart w:id="2" w:name="_Toc15614"/>
      <w:bookmarkStart w:id="3" w:name="_Toc21163"/>
      <w:bookmarkStart w:id="4" w:name="_Toc3414"/>
      <w:bookmarkStart w:id="5" w:name="_Toc9234"/>
      <w:bookmarkStart w:id="6" w:name="_Toc21676"/>
      <w:r>
        <w:rPr>
          <w:rFonts w:hint="eastAsia" w:ascii="仿宋" w:hAnsi="仿宋" w:eastAsia="仿宋" w:cs="仿宋"/>
          <w:w w:val="95"/>
        </w:rPr>
        <w:t>承诺函</w:t>
      </w:r>
      <w:bookmarkEnd w:id="2"/>
      <w:bookmarkEnd w:id="3"/>
      <w:bookmarkEnd w:id="4"/>
      <w:bookmarkEnd w:id="5"/>
      <w:bookmarkEnd w:id="6"/>
    </w:p>
    <w:p>
      <w:pPr>
        <w:shd w:val="clear"/>
        <w:spacing w:line="360" w:lineRule="auto"/>
        <w:outlineLvl w:val="1"/>
        <w:rPr>
          <w:rFonts w:hint="eastAsia" w:ascii="仿宋" w:hAnsi="仿宋" w:eastAsia="仿宋" w:cs="仿宋"/>
          <w:sz w:val="22"/>
        </w:rPr>
      </w:pPr>
      <w:bookmarkStart w:id="7" w:name="_Toc14802"/>
      <w:bookmarkStart w:id="8" w:name="_Toc30275"/>
      <w:bookmarkStart w:id="9" w:name="_Toc11076"/>
      <w:bookmarkStart w:id="10" w:name="_Toc10689"/>
      <w:bookmarkStart w:id="11" w:name="_Toc60"/>
      <w:bookmarkStart w:id="12" w:name="_Toc12490"/>
      <w:bookmarkStart w:id="13" w:name="_Toc5208"/>
      <w:bookmarkStart w:id="14" w:name="_Toc5499"/>
      <w:bookmarkStart w:id="15" w:name="_Toc30494"/>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hd w:val="clear"/>
        <w:spacing w:line="360" w:lineRule="auto"/>
        <w:ind w:firstLine="440" w:firstLineChars="200"/>
        <w:outlineLvl w:val="1"/>
        <w:rPr>
          <w:rFonts w:hint="eastAsia" w:ascii="仿宋" w:hAnsi="仿宋" w:eastAsia="仿宋" w:cs="仿宋"/>
          <w:sz w:val="22"/>
        </w:rPr>
      </w:pPr>
      <w:bookmarkStart w:id="16" w:name="_Toc28103"/>
      <w:bookmarkStart w:id="17" w:name="_Toc9131"/>
      <w:bookmarkStart w:id="18" w:name="_Toc30724"/>
      <w:bookmarkStart w:id="19" w:name="_Toc10183"/>
      <w:bookmarkStart w:id="20" w:name="_Toc3081"/>
      <w:bookmarkStart w:id="21" w:name="_Toc13021"/>
      <w:bookmarkStart w:id="22" w:name="_Toc32214"/>
      <w:bookmarkStart w:id="23" w:name="_Toc26481"/>
      <w:bookmarkStart w:id="24" w:name="_Toc10948"/>
      <w:bookmarkStart w:id="25" w:name="_Toc7067"/>
      <w:bookmarkStart w:id="26" w:name="_Toc3912"/>
      <w:bookmarkStart w:id="27" w:name="_Toc30080"/>
      <w:bookmarkStart w:id="28" w:name="_Toc19115"/>
      <w:bookmarkStart w:id="29" w:name="_Toc18879"/>
      <w:bookmarkStart w:id="30" w:name="_Toc8717"/>
      <w:bookmarkStart w:id="31" w:name="_Toc3392"/>
      <w:bookmarkStart w:id="32" w:name="_Toc18513"/>
      <w:bookmarkStart w:id="33" w:name="_Toc3447"/>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hd w:val="clear"/>
        <w:spacing w:line="440" w:lineRule="exact"/>
        <w:ind w:firstLine="440" w:firstLineChars="200"/>
        <w:outlineLvl w:val="1"/>
        <w:rPr>
          <w:rFonts w:hint="eastAsia" w:ascii="仿宋" w:hAnsi="仿宋" w:eastAsia="仿宋" w:cs="仿宋"/>
          <w:sz w:val="22"/>
        </w:rPr>
      </w:pPr>
      <w:bookmarkStart w:id="34" w:name="_Toc30649"/>
      <w:bookmarkStart w:id="35" w:name="_Toc23645"/>
      <w:bookmarkStart w:id="36" w:name="_Toc7249"/>
      <w:bookmarkStart w:id="37" w:name="_Toc18259"/>
      <w:bookmarkStart w:id="38" w:name="_Toc9042"/>
      <w:bookmarkStart w:id="39" w:name="_Toc15196"/>
      <w:bookmarkStart w:id="40" w:name="_Toc22795"/>
      <w:bookmarkStart w:id="41" w:name="_Toc30920"/>
      <w:bookmarkStart w:id="42" w:name="_Toc10142"/>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hd w:val="clear"/>
        <w:spacing w:line="440" w:lineRule="exact"/>
        <w:ind w:firstLine="440" w:firstLineChars="200"/>
        <w:outlineLvl w:val="1"/>
        <w:rPr>
          <w:rFonts w:hint="eastAsia" w:ascii="仿宋" w:hAnsi="仿宋" w:eastAsia="仿宋" w:cs="仿宋"/>
          <w:sz w:val="22"/>
        </w:rPr>
      </w:pPr>
      <w:bookmarkStart w:id="45" w:name="_Toc19600"/>
      <w:bookmarkStart w:id="46" w:name="_Toc4775"/>
      <w:bookmarkStart w:id="47" w:name="_Toc25516"/>
      <w:bookmarkStart w:id="48" w:name="_Toc3534"/>
      <w:bookmarkStart w:id="49" w:name="_Toc24117"/>
      <w:bookmarkStart w:id="50" w:name="_Toc21988"/>
      <w:bookmarkStart w:id="51" w:name="_Toc30083"/>
      <w:bookmarkStart w:id="52" w:name="_Toc3004"/>
      <w:bookmarkStart w:id="53" w:name="_Toc26548"/>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hd w:val="clear"/>
        <w:spacing w:line="440" w:lineRule="exact"/>
        <w:ind w:firstLine="440" w:firstLineChars="200"/>
        <w:outlineLvl w:val="1"/>
        <w:rPr>
          <w:rFonts w:hint="eastAsia" w:ascii="仿宋" w:hAnsi="仿宋" w:eastAsia="仿宋" w:cs="仿宋"/>
          <w:sz w:val="22"/>
        </w:rPr>
      </w:pPr>
      <w:bookmarkStart w:id="54" w:name="_Toc32166"/>
      <w:bookmarkStart w:id="55" w:name="_Toc27376"/>
      <w:bookmarkStart w:id="56" w:name="_Toc3494"/>
      <w:bookmarkStart w:id="57" w:name="_Toc14887"/>
      <w:bookmarkStart w:id="58" w:name="_Toc12333"/>
      <w:bookmarkStart w:id="59" w:name="_Toc23192"/>
      <w:bookmarkStart w:id="60" w:name="_Toc22198"/>
      <w:bookmarkStart w:id="61" w:name="_Toc16764"/>
      <w:bookmarkStart w:id="62" w:name="_Toc691"/>
      <w:bookmarkStart w:id="63" w:name="_Toc21982"/>
      <w:bookmarkStart w:id="64" w:name="_Toc16666"/>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hd w:val="clear"/>
        <w:spacing w:line="440" w:lineRule="exact"/>
        <w:ind w:firstLine="440" w:firstLineChars="200"/>
        <w:outlineLvl w:val="1"/>
        <w:rPr>
          <w:rFonts w:hint="eastAsia" w:ascii="仿宋" w:hAnsi="仿宋" w:eastAsia="仿宋" w:cs="仿宋"/>
          <w:sz w:val="22"/>
        </w:rPr>
      </w:pPr>
      <w:bookmarkStart w:id="65" w:name="_Toc22606"/>
      <w:bookmarkStart w:id="66" w:name="_Toc11914"/>
      <w:bookmarkStart w:id="67" w:name="_Toc31581"/>
      <w:bookmarkStart w:id="68" w:name="_Toc1371"/>
      <w:bookmarkStart w:id="69" w:name="_Toc10013"/>
      <w:bookmarkStart w:id="70" w:name="_Toc14269"/>
      <w:bookmarkStart w:id="71" w:name="_Toc4577"/>
      <w:bookmarkStart w:id="72" w:name="_Toc9263"/>
      <w:bookmarkStart w:id="73" w:name="_Toc5412"/>
      <w:bookmarkStart w:id="74" w:name="_Toc3943"/>
      <w:bookmarkStart w:id="75" w:name="_Toc25068"/>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hd w:val="clear"/>
        <w:spacing w:line="440" w:lineRule="exact"/>
        <w:ind w:firstLine="440" w:firstLineChars="200"/>
        <w:outlineLvl w:val="1"/>
        <w:rPr>
          <w:rFonts w:hint="eastAsia" w:ascii="仿宋" w:hAnsi="仿宋" w:eastAsia="仿宋" w:cs="仿宋"/>
          <w:sz w:val="22"/>
        </w:rPr>
      </w:pPr>
      <w:bookmarkStart w:id="76" w:name="_Toc17108"/>
      <w:bookmarkStart w:id="77" w:name="_Toc2316"/>
      <w:bookmarkStart w:id="78" w:name="_Toc2937"/>
      <w:bookmarkStart w:id="79" w:name="_Toc11489"/>
      <w:bookmarkStart w:id="80" w:name="_Toc13677"/>
      <w:bookmarkStart w:id="81" w:name="_Toc13267"/>
      <w:bookmarkStart w:id="82" w:name="_Toc31890"/>
      <w:bookmarkStart w:id="83" w:name="_Toc29190"/>
      <w:bookmarkStart w:id="84" w:name="_Toc18935"/>
      <w:bookmarkStart w:id="85" w:name="_Toc10600"/>
      <w:bookmarkStart w:id="86" w:name="_Toc3908"/>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hd w:val="clea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hd w:val="clea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hd w:val="clea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hd w:val="clear"/>
        <w:spacing w:line="440" w:lineRule="exact"/>
        <w:ind w:firstLine="440" w:firstLineChars="200"/>
        <w:outlineLvl w:val="1"/>
        <w:rPr>
          <w:rFonts w:hint="eastAsia" w:ascii="仿宋" w:hAnsi="仿宋" w:eastAsia="仿宋" w:cs="仿宋"/>
          <w:sz w:val="22"/>
        </w:rPr>
      </w:pPr>
      <w:bookmarkStart w:id="87" w:name="_Toc15916"/>
      <w:bookmarkStart w:id="88" w:name="_Toc1313"/>
      <w:bookmarkStart w:id="89" w:name="_Toc14252"/>
      <w:bookmarkStart w:id="90" w:name="_Toc21351"/>
      <w:bookmarkStart w:id="91" w:name="_Toc24122"/>
      <w:bookmarkStart w:id="92" w:name="_Toc31638"/>
      <w:bookmarkStart w:id="93" w:name="_Toc12088"/>
      <w:bookmarkStart w:id="94" w:name="_Toc26756"/>
      <w:bookmarkStart w:id="95" w:name="_Toc32365"/>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hd w:val="clea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hd w:val="clea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9215"/>
      <w:bookmarkStart w:id="98" w:name="_Toc15894"/>
      <w:bookmarkStart w:id="99" w:name="_Toc22760"/>
      <w:bookmarkStart w:id="100" w:name="_Toc19589"/>
      <w:bookmarkStart w:id="101" w:name="_Toc11278"/>
      <w:bookmarkStart w:id="102" w:name="_Toc27948"/>
      <w:bookmarkStart w:id="103" w:name="_Toc15083"/>
      <w:bookmarkStart w:id="104" w:name="_Toc23212"/>
      <w:bookmarkStart w:id="105" w:name="_Toc10583"/>
      <w:bookmarkStart w:id="106" w:name="_Toc27985"/>
      <w:bookmarkStart w:id="107" w:name="_Toc18046"/>
      <w:bookmarkStart w:id="108" w:name="_Toc9398"/>
      <w:bookmarkStart w:id="109" w:name="_Toc26609"/>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hd w:val="clear"/>
        <w:spacing w:line="360" w:lineRule="auto"/>
        <w:ind w:firstLine="440" w:firstLineChars="200"/>
        <w:outlineLvl w:val="1"/>
        <w:rPr>
          <w:rFonts w:hint="eastAsia" w:ascii="仿宋" w:hAnsi="仿宋" w:eastAsia="仿宋" w:cs="仿宋"/>
          <w:sz w:val="22"/>
        </w:rPr>
      </w:pPr>
      <w:bookmarkStart w:id="110" w:name="_Toc757"/>
      <w:bookmarkStart w:id="111" w:name="_Toc8940"/>
      <w:bookmarkStart w:id="112" w:name="_Toc4116"/>
      <w:bookmarkStart w:id="113" w:name="_Toc24671"/>
      <w:bookmarkStart w:id="114" w:name="_Toc27767"/>
      <w:bookmarkStart w:id="115" w:name="_Toc14546"/>
      <w:bookmarkStart w:id="116" w:name="_Toc24655"/>
      <w:bookmarkStart w:id="117" w:name="_Toc8348"/>
      <w:bookmarkStart w:id="118" w:name="_Toc8083"/>
      <w:bookmarkStart w:id="119" w:name="_Toc24107"/>
      <w:bookmarkStart w:id="120" w:name="_Toc17204"/>
      <w:bookmarkStart w:id="121" w:name="_Toc29648"/>
      <w:bookmarkStart w:id="122" w:name="_Toc17741"/>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hd w:val="clear"/>
        <w:spacing w:line="360" w:lineRule="auto"/>
        <w:ind w:firstLine="440" w:firstLineChars="200"/>
        <w:outlineLvl w:val="1"/>
        <w:rPr>
          <w:rFonts w:hint="eastAsia" w:ascii="仿宋" w:hAnsi="仿宋" w:eastAsia="仿宋" w:cs="仿宋"/>
          <w:sz w:val="22"/>
        </w:rPr>
      </w:pPr>
      <w:bookmarkStart w:id="123" w:name="_Toc5840"/>
      <w:bookmarkStart w:id="124" w:name="_Toc22243"/>
      <w:bookmarkStart w:id="125" w:name="_Toc15917"/>
      <w:bookmarkStart w:id="126" w:name="_Toc2003"/>
      <w:bookmarkStart w:id="127" w:name="_Toc10950"/>
      <w:bookmarkStart w:id="128" w:name="_Toc14781"/>
      <w:bookmarkStart w:id="129" w:name="_Toc8524"/>
      <w:bookmarkStart w:id="130" w:name="_Toc12682"/>
      <w:bookmarkStart w:id="131" w:name="_Toc10945"/>
      <w:bookmarkStart w:id="132" w:name="_Toc10308"/>
      <w:bookmarkStart w:id="133" w:name="_Toc24280"/>
      <w:bookmarkStart w:id="134" w:name="_Toc20745"/>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shd w:val="clear"/>
        <w:ind w:firstLine="617"/>
        <w:rPr>
          <w:rFonts w:hint="eastAsia" w:ascii="仿宋" w:hAnsi="仿宋" w:eastAsia="仿宋" w:cs="仿宋"/>
          <w:sz w:val="24"/>
        </w:rPr>
      </w:pPr>
    </w:p>
    <w:p>
      <w:pPr>
        <w:pStyle w:val="6"/>
        <w:shd w:val="clear"/>
        <w:ind w:firstLine="617"/>
        <w:rPr>
          <w:rFonts w:hint="eastAsia" w:ascii="仿宋" w:hAnsi="仿宋" w:eastAsia="仿宋" w:cs="仿宋"/>
          <w:sz w:val="24"/>
        </w:rPr>
      </w:pPr>
    </w:p>
    <w:p>
      <w:pPr>
        <w:pStyle w:val="6"/>
        <w:shd w:val="clear"/>
        <w:ind w:firstLine="617"/>
        <w:rPr>
          <w:rFonts w:hint="eastAsia" w:ascii="仿宋" w:hAnsi="仿宋" w:eastAsia="仿宋" w:cs="仿宋"/>
          <w:sz w:val="24"/>
        </w:rPr>
      </w:pPr>
    </w:p>
    <w:p>
      <w:pPr>
        <w:widowControl/>
        <w:shd w:val="clear"/>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shd w:val="clear"/>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shd w:val="clear"/>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shd w:val="clear"/>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shd w:val="clear"/>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shd w:val="clear"/>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shd w:val="clear"/>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hd w:val="clear"/>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shd w:val="clear"/>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3506" w:type="dxa"/>
        <w:jc w:val="center"/>
        <w:shd w:val="clear" w:color="auto" w:fill="auto"/>
        <w:tblLayout w:type="autofit"/>
        <w:tblCellMar>
          <w:top w:w="0" w:type="dxa"/>
          <w:left w:w="0" w:type="dxa"/>
          <w:bottom w:w="0" w:type="dxa"/>
          <w:right w:w="0" w:type="dxa"/>
        </w:tblCellMar>
      </w:tblPr>
      <w:tblGrid>
        <w:gridCol w:w="580"/>
        <w:gridCol w:w="1417"/>
        <w:gridCol w:w="2030"/>
        <w:gridCol w:w="1418"/>
        <w:gridCol w:w="709"/>
        <w:gridCol w:w="992"/>
        <w:gridCol w:w="992"/>
        <w:gridCol w:w="1281"/>
        <w:gridCol w:w="971"/>
        <w:gridCol w:w="2130"/>
        <w:gridCol w:w="986"/>
      </w:tblGrid>
      <w:tr>
        <w:tblPrEx>
          <w:tblCellMar>
            <w:top w:w="0" w:type="dxa"/>
            <w:left w:w="0" w:type="dxa"/>
            <w:bottom w:w="0" w:type="dxa"/>
            <w:right w:w="0" w:type="dxa"/>
          </w:tblCellMar>
        </w:tblPrEx>
        <w:trPr>
          <w:trHeight w:val="735" w:hRule="atLeast"/>
          <w:jc w:val="center"/>
        </w:trPr>
        <w:tc>
          <w:tcPr>
            <w:tcW w:w="580"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2030"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7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品牌</w:t>
            </w:r>
          </w:p>
        </w:tc>
        <w:tc>
          <w:tcPr>
            <w:tcW w:w="992" w:type="dxa"/>
            <w:tcBorders>
              <w:top w:val="single" w:color="auto" w:sz="8" w:space="0"/>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9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8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71"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13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986"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备注</w:t>
            </w:r>
          </w:p>
          <w:p>
            <w:pPr>
              <w:widowControl/>
              <w:shd w:val="clear"/>
              <w:wordWrap w:val="0"/>
              <w:jc w:val="center"/>
              <w:rPr>
                <w:rFonts w:ascii="仿宋_GB2312" w:hAnsi="Segoe UI" w:eastAsia="仿宋_GB2312" w:cs="Segoe UI"/>
                <w:b/>
                <w:color w:val="000000" w:themeColor="text1"/>
                <w:kern w:val="0"/>
                <w:sz w:val="24"/>
                <w:szCs w:val="24"/>
              </w:rPr>
            </w:pPr>
          </w:p>
        </w:tc>
      </w:tr>
      <w:tr>
        <w:tblPrEx>
          <w:shd w:val="clear" w:color="auto" w:fill="auto"/>
          <w:tblCellMar>
            <w:top w:w="0" w:type="dxa"/>
            <w:left w:w="0" w:type="dxa"/>
            <w:bottom w:w="0" w:type="dxa"/>
            <w:right w:w="0" w:type="dxa"/>
          </w:tblCellMar>
        </w:tblPrEx>
        <w:trPr>
          <w:trHeight w:val="330" w:hRule="atLeast"/>
          <w:jc w:val="center"/>
        </w:trPr>
        <w:tc>
          <w:tcPr>
            <w:tcW w:w="580"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30"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nil"/>
              <w:left w:val="single" w:color="auto" w:sz="4" w:space="0"/>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8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1"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13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986"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80"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30"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nil"/>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bookmarkStart w:id="135" w:name="_GoBack"/>
            <w:bookmarkEnd w:id="135"/>
            <w:r>
              <w:rPr>
                <w:rFonts w:hint="eastAsia" w:ascii="宋体" w:hAnsi="宋体" w:eastAsia="宋体" w:cs="Segoe UI"/>
                <w:color w:val="000000" w:themeColor="text1"/>
                <w:kern w:val="0"/>
                <w:sz w:val="24"/>
                <w:szCs w:val="24"/>
              </w:rPr>
              <w:t> </w:t>
            </w:r>
          </w:p>
        </w:tc>
        <w:tc>
          <w:tcPr>
            <w:tcW w:w="99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81"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1"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13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986"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8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3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7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13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986"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3506"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hd w:val="clear"/>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hd w:val="clea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胃幽门螺杆菌检测试剂盒）采购活动中，无以下围标、串标行为：</w:t>
      </w:r>
    </w:p>
    <w:p>
      <w:pPr>
        <w:pStyle w:val="2"/>
        <w:shd w:val="clear"/>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hd w:val="clea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hd w:val="clear"/>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hd w:val="clea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hd w:val="clear"/>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hd w:val="clea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hd w:val="clea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hd w:val="clear"/>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hd w:val="clea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hd w:val="clear"/>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hd w:val="clea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hd w:val="clear"/>
        <w:spacing w:after="0" w:line="120" w:lineRule="auto"/>
        <w:rPr>
          <w:rFonts w:hint="eastAsia"/>
          <w:sz w:val="28"/>
          <w:szCs w:val="28"/>
        </w:rPr>
      </w:pPr>
    </w:p>
    <w:p>
      <w:pPr>
        <w:pStyle w:val="2"/>
        <w:shd w:val="clear"/>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hd w:val="clear"/>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hd w:val="clear"/>
        <w:spacing w:after="0" w:line="120" w:lineRule="auto"/>
        <w:ind w:firstLine="560" w:firstLineChars="200"/>
        <w:rPr>
          <w:rFonts w:hint="eastAsia" w:ascii="仿宋_GB2312" w:hAnsi="Segoe UI" w:eastAsia="仿宋_GB2312" w:cs="Segoe UI"/>
          <w:color w:val="000000" w:themeColor="text1"/>
          <w:kern w:val="0"/>
          <w:sz w:val="24"/>
          <w:szCs w:val="24"/>
        </w:rPr>
      </w:pPr>
      <w:r>
        <w:rPr>
          <w:rFonts w:hint="eastAsia" w:ascii="仿宋_GB2312" w:hAnsi="仿宋_GB2312" w:eastAsia="仿宋_GB2312" w:cs="仿宋_GB2312"/>
          <w:sz w:val="28"/>
          <w:szCs w:val="28"/>
        </w:rPr>
        <w:t>日期：   年    月    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46E5"/>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D7F0F"/>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0E95"/>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82624"/>
    <w:rsid w:val="00587330"/>
    <w:rsid w:val="005968B6"/>
    <w:rsid w:val="00597D06"/>
    <w:rsid w:val="005A3020"/>
    <w:rsid w:val="005A42FF"/>
    <w:rsid w:val="005A498C"/>
    <w:rsid w:val="005A6381"/>
    <w:rsid w:val="005A681B"/>
    <w:rsid w:val="005B63AB"/>
    <w:rsid w:val="005B7018"/>
    <w:rsid w:val="005C2921"/>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32915"/>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E30BD"/>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0E1F"/>
    <w:rsid w:val="00DB3F6C"/>
    <w:rsid w:val="00DC3AB1"/>
    <w:rsid w:val="00DC4C36"/>
    <w:rsid w:val="00DE14EC"/>
    <w:rsid w:val="00DE31ED"/>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E911C5D"/>
    <w:rsid w:val="137D6D05"/>
    <w:rsid w:val="195D2073"/>
    <w:rsid w:val="2D7B7177"/>
    <w:rsid w:val="2DB74145"/>
    <w:rsid w:val="2F895E22"/>
    <w:rsid w:val="34C1527C"/>
    <w:rsid w:val="34E74E35"/>
    <w:rsid w:val="364F4E7F"/>
    <w:rsid w:val="365344A5"/>
    <w:rsid w:val="411D3A60"/>
    <w:rsid w:val="439F78E1"/>
    <w:rsid w:val="51CB3FD0"/>
    <w:rsid w:val="5536063D"/>
    <w:rsid w:val="57BC5DEB"/>
    <w:rsid w:val="62FA0171"/>
    <w:rsid w:val="65C660EF"/>
    <w:rsid w:val="701306BF"/>
    <w:rsid w:val="75233D75"/>
    <w:rsid w:val="78BA1DAC"/>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26"/>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link w:val="25"/>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 w:type="character" w:customStyle="1" w:styleId="24">
    <w:name w:val="NormalCharacter"/>
    <w:qFormat/>
    <w:uiPriority w:val="0"/>
  </w:style>
  <w:style w:type="character" w:customStyle="1" w:styleId="25">
    <w:name w:val="正文文本缩进 2 Char"/>
    <w:basedOn w:val="14"/>
    <w:link w:val="6"/>
    <w:semiHidden/>
    <w:qFormat/>
    <w:uiPriority w:val="99"/>
    <w:rPr>
      <w:rFonts w:asciiTheme="minorHAnsi" w:hAnsiTheme="minorHAnsi" w:eastAsiaTheme="minorEastAsia" w:cstheme="minorBidi"/>
      <w:kern w:val="2"/>
      <w:sz w:val="21"/>
      <w:szCs w:val="22"/>
    </w:rPr>
  </w:style>
  <w:style w:type="character" w:customStyle="1" w:styleId="26">
    <w:name w:val="正文文本 Char"/>
    <w:basedOn w:val="14"/>
    <w:link w:val="2"/>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EA8A53-B26B-4B29-A513-F392F504E0E9}">
  <ds:schemaRefs/>
</ds:datastoreItem>
</file>

<file path=docProps/app.xml><?xml version="1.0" encoding="utf-8"?>
<Properties xmlns="http://schemas.openxmlformats.org/officeDocument/2006/extended-properties" xmlns:vt="http://schemas.openxmlformats.org/officeDocument/2006/docPropsVTypes">
  <Template>Normal</Template>
  <Pages>11</Pages>
  <Words>908</Words>
  <Characters>5182</Characters>
  <Lines>43</Lines>
  <Paragraphs>12</Paragraphs>
  <TotalTime>2</TotalTime>
  <ScaleCrop>false</ScaleCrop>
  <LinksUpToDate>false</LinksUpToDate>
  <CharactersWithSpaces>6078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2023-11-15T03:25:00Z</dcterms:modified>
  <cp:revision>263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