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医院文化元素公仔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  <w:bookmarkStart w:id="3" w:name="_GoBack"/>
      <w:bookmarkEnd w:id="3"/>
    </w:p>
    <w:p>
      <w:pPr>
        <w:pStyle w:val="6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医院文化元素公仔</w:t>
      </w:r>
    </w:p>
    <w:p>
      <w:pPr>
        <w:pStyle w:val="6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武侯区沙堰西二街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290号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采购参数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带有医院文化元素的定制玩偶公仔（面料：绒；填充：棉，大小：宽约22cm，厚度约10cm，高约31cm）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2.数量：300个（各150个）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3.预算控制价：16800元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参考示意</w:t>
      </w:r>
      <w:r>
        <w:rPr>
          <w:rFonts w:hint="eastAsia" w:ascii="仿宋_GB2312" w:hAnsi="仿宋_GB2312" w:eastAsia="仿宋_GB2312" w:cs="仿宋_GB2312"/>
          <w:sz w:val="28"/>
          <w:szCs w:val="28"/>
        </w:rPr>
        <w:t>图：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384800" cy="1489075"/>
            <wp:effectExtent l="0" t="0" r="6350" b="15875"/>
            <wp:docPr id="1" name="图片 1" descr="169924319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243196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采购文件书装订顺序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000000"/>
          <w:spacing w:val="8"/>
          <w:kern w:val="0"/>
          <w:sz w:val="24"/>
        </w:rPr>
      </w:pP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1、封面（公司、项目、联系人、联系方式）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2、目录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</w:rPr>
        <w:t>报价一览表</w:t>
      </w:r>
    </w:p>
    <w:p>
      <w:pPr>
        <w:widowControl/>
        <w:spacing w:line="360" w:lineRule="auto"/>
        <w:ind w:firstLine="67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4、企业营业执照（复印件）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pacing w:val="8"/>
          <w:kern w:val="0"/>
          <w:sz w:val="24"/>
        </w:rPr>
        <w:t>5、</w:t>
      </w:r>
      <w:r>
        <w:rPr>
          <w:rFonts w:hint="eastAsia" w:ascii="宋体" w:hAnsi="宋体" w:cs="宋体"/>
          <w:kern w:val="0"/>
          <w:sz w:val="24"/>
        </w:rPr>
        <w:t>组织机构代码证、税务登记证（复印件）（或三证合一）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6、法定代表人授权书、暨经办人授权书，法人、经办人身份证（复印件）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7、设计规范或标准</w:t>
      </w:r>
    </w:p>
    <w:p>
      <w:pPr>
        <w:widowControl/>
        <w:spacing w:line="360" w:lineRule="auto"/>
        <w:ind w:firstLine="64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</w:t>
      </w:r>
      <w:r>
        <w:rPr>
          <w:rFonts w:hint="eastAsia" w:ascii="宋体" w:hAnsi="宋体" w:cs="宋体"/>
          <w:color w:val="000000"/>
          <w:spacing w:val="8"/>
          <w:kern w:val="0"/>
          <w:sz w:val="24"/>
        </w:rPr>
        <w:t>售后</w:t>
      </w:r>
      <w:r>
        <w:rPr>
          <w:rFonts w:hint="eastAsia" w:ascii="宋体" w:hAnsi="宋体" w:cs="宋体"/>
          <w:color w:val="000000"/>
          <w:kern w:val="0"/>
          <w:sz w:val="24"/>
        </w:rPr>
        <w:t>服务承诺书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000000"/>
          <w:spacing w:val="8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</w:rPr>
        <w:t>9、</w:t>
      </w:r>
      <w:r>
        <w:rPr>
          <w:rFonts w:hint="eastAsia" w:ascii="宋体" w:hAnsi="宋体" w:cs="宋体"/>
          <w:color w:val="000000"/>
          <w:spacing w:val="8"/>
          <w:kern w:val="0"/>
          <w:sz w:val="24"/>
          <w:lang w:eastAsia="zh-CN"/>
        </w:rPr>
        <w:t>反商业贿赂承诺书</w:t>
      </w:r>
    </w:p>
    <w:p>
      <w:pPr>
        <w:pStyle w:val="16"/>
        <w:rPr>
          <w:rFonts w:hint="default"/>
          <w:lang w:val="en-US" w:eastAsia="zh-CN"/>
        </w:rPr>
      </w:pPr>
      <w:r>
        <w:rPr>
          <w:rFonts w:hint="eastAsia" w:hAnsi="宋体" w:cs="宋体"/>
          <w:color w:val="000000"/>
          <w:spacing w:val="8"/>
          <w:kern w:val="0"/>
          <w:sz w:val="24"/>
          <w:lang w:val="en-US" w:eastAsia="zh-CN"/>
        </w:rPr>
        <w:t xml:space="preserve">     10、无围标、串标行为承诺书</w:t>
      </w:r>
    </w:p>
    <w:p>
      <w:pPr>
        <w:widowControl/>
        <w:spacing w:line="360" w:lineRule="auto"/>
        <w:ind w:firstLine="672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spacing w:val="8"/>
          <w:kern w:val="0"/>
          <w:sz w:val="24"/>
          <w:lang w:val="en-US" w:eastAsia="zh-CN"/>
        </w:rPr>
        <w:t>11、</w:t>
      </w:r>
      <w:r>
        <w:rPr>
          <w:rFonts w:hint="eastAsia" w:ascii="宋体" w:hAnsi="宋体" w:cs="宋体"/>
          <w:color w:val="000000"/>
          <w:spacing w:val="8"/>
          <w:kern w:val="0"/>
          <w:sz w:val="24"/>
        </w:rPr>
        <w:t>封底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注：请务必按以上顺序装订资料，如有非中文资料，请同时提供中文翻译件。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 xml:space="preserve">附件3  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918"/>
        <w:gridCol w:w="875"/>
        <w:gridCol w:w="1668"/>
        <w:gridCol w:w="1500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7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6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500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418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3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7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日期：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24"/>
          <w:lang w:val="zh-CN"/>
        </w:rPr>
      </w:pPr>
    </w:p>
    <w:p>
      <w:pPr>
        <w:pStyle w:val="2"/>
        <w:tabs>
          <w:tab w:val="left" w:pos="540"/>
        </w:tabs>
        <w:ind w:left="720" w:hanging="72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95295163"/>
      <w:bookmarkStart w:id="1" w:name="_Toc237343703"/>
      <w:bookmarkStart w:id="2" w:name="_Toc174767233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</w:p>
    <w:p>
      <w:pPr>
        <w:pStyle w:val="2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反商业贿赂承诺书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1、不与其他投标人相互串通投标报价，损害贵院的合法权益；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2、不与招标人串通投标，损害国家利益、社会公共利益或他人的合法权益；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3、不以向招标人或者评标委员会成员行贿的手段谋取中标；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5、保证不以其他任何方式扰乱贵院的招标工作；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9、保证不以其他任何不正当竞争手段推销药品、医疗器械、设备、物资。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三、本厂家、商家、公司保证竭力维护贵院的声誉，不做任何有损贵院形象的事情。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2、对本厂家、商家、公司相关工作人员作出严肃处理；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六、 采购物资名称：                                   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本《承诺书》一式二份（一份由承诺人自存；一份随竞价书传递）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承诺企业名称（公章）                  </w:t>
      </w:r>
    </w:p>
    <w:p>
      <w:pPr>
        <w:widowControl/>
        <w:spacing w:line="240" w:lineRule="auto"/>
        <w:ind w:firstLine="566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法人代表或委托代理人（承诺人）</w:t>
      </w:r>
    </w:p>
    <w:p>
      <w:pPr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6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sz w:val="24"/>
          <w:szCs w:val="24"/>
        </w:rPr>
        <w:t>）采购活动中，无以下围标、串标行为：</w:t>
      </w: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1.不同供应商的投标文件由同一单位或者个人编制；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2.不同供应商委托同一单位或者个人办理投标事宜；</w:t>
      </w: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4.不同供应商的投标文件异常一致或者投标报价呈规律性差异；</w:t>
      </w: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5.不同供应商的投标文件相互混装；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6.不同供应商的投标保证金从同一单位或者个人的账户转出；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8.供应商之间事先约定由某一特定供应商中标、成交；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9.供应商之间商定部分供应商放弃参加采购活动或者放弃中标、成交；</w:t>
      </w:r>
    </w:p>
    <w:p>
      <w:pPr>
        <w:pStyle w:val="4"/>
        <w:adjustRightInd w:val="0"/>
        <w:snapToGrid w:val="0"/>
        <w:spacing w:line="240" w:lineRule="auto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10.法律法规界定的其他围标串标行为。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4"/>
        <w:adjustRightInd w:val="0"/>
        <w:snapToGrid w:val="0"/>
        <w:spacing w:line="240" w:lineRule="auto"/>
        <w:rPr>
          <w:rFonts w:hint="eastAsia" w:ascii="仿宋_GB2312" w:hAnsi="宋体" w:eastAsia="仿宋_GB2312" w:cs="宋体"/>
          <w:sz w:val="24"/>
          <w:szCs w:val="24"/>
        </w:rPr>
      </w:pP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投标人法人代表或委托代理人（承诺人） ：</w:t>
      </w: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投标人：（公章）  </w:t>
      </w:r>
    </w:p>
    <w:p>
      <w:pPr>
        <w:pStyle w:val="4"/>
        <w:adjustRightInd w:val="0"/>
        <w:snapToGrid w:val="0"/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日期：       年    月    日</w:t>
      </w:r>
    </w:p>
    <w:p>
      <w:pPr>
        <w:widowControl/>
        <w:spacing w:line="360" w:lineRule="auto"/>
        <w:ind w:firstLine="480"/>
        <w:jc w:val="left"/>
      </w:pPr>
    </w:p>
    <w:p>
      <w:pPr>
        <w:widowControl/>
        <w:spacing w:line="360" w:lineRule="auto"/>
        <w:ind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A656E2F"/>
    <w:rsid w:val="0E063B33"/>
    <w:rsid w:val="15332BE9"/>
    <w:rsid w:val="1CC4074E"/>
    <w:rsid w:val="2B6D049C"/>
    <w:rsid w:val="4671649F"/>
    <w:rsid w:val="481C1395"/>
    <w:rsid w:val="4F042870"/>
    <w:rsid w:val="4FB61E48"/>
    <w:rsid w:val="555F223F"/>
    <w:rsid w:val="55A41FCF"/>
    <w:rsid w:val="7387442F"/>
    <w:rsid w:val="74E52F8F"/>
    <w:rsid w:val="773D541E"/>
    <w:rsid w:val="79A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12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5"/>
    <w:link w:val="13"/>
    <w:qFormat/>
    <w:uiPriority w:val="0"/>
    <w:pPr>
      <w:tabs>
        <w:tab w:val="left" w:pos="2700"/>
      </w:tabs>
      <w:ind w:firstLine="42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10"/>
    <w:link w:val="5"/>
    <w:qFormat/>
    <w:uiPriority w:val="0"/>
    <w:rPr>
      <w:rFonts w:ascii="Calibri" w:hAnsi="Calibri"/>
    </w:rPr>
  </w:style>
  <w:style w:type="character" w:customStyle="1" w:styleId="13">
    <w:name w:val="正文首行缩进 2 Char"/>
    <w:basedOn w:val="12"/>
    <w:link w:val="7"/>
    <w:qFormat/>
    <w:uiPriority w:val="0"/>
  </w:style>
  <w:style w:type="character" w:customStyle="1" w:styleId="14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81"/>
    <w:basedOn w:val="10"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31"/>
    <w:basedOn w:val="10"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91"/>
    <w:basedOn w:val="10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20">
    <w:name w:val="font41"/>
    <w:basedOn w:val="10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51"/>
    <w:basedOn w:val="10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0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sfy-2022456</cp:lastModifiedBy>
  <dcterms:modified xsi:type="dcterms:W3CDTF">2023-11-17T03:31:16Z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