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spacing w:line="480" w:lineRule="auto"/>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天府院区咖啡吧一体化建设项目</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widowControl/>
        <w:suppressLineNumbers w:val="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eastAsia="zh-CN"/>
        </w:rPr>
        <w:t xml:space="preserve"> </w:t>
      </w:r>
      <w:r>
        <w:rPr>
          <w:rFonts w:hint="eastAsia" w:ascii="黑体" w:hAnsi="黑体" w:eastAsia="黑体" w:cs="黑体"/>
          <w:b/>
          <w:bCs w:val="0"/>
          <w:color w:val="auto"/>
          <w:sz w:val="32"/>
          <w:szCs w:val="32"/>
          <w:highlight w:val="none"/>
        </w:rPr>
        <w:t>SCFY-HQ202311-012（磋）</w:t>
      </w:r>
    </w:p>
    <w:p>
      <w:pPr>
        <w:pStyle w:val="7"/>
        <w:rPr>
          <w:rFonts w:hint="eastAsia"/>
          <w:lang w:eastAsia="zh-CN"/>
        </w:rPr>
      </w:pP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仿宋_GB2312" w:hAnsi="仿宋_GB2312" w:eastAsia="仿宋_GB2312" w:cs="仿宋_GB2312"/>
          <w:color w:val="auto"/>
          <w:sz w:val="28"/>
          <w:szCs w:val="28"/>
          <w:highlight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spacing w:line="480" w:lineRule="auto"/>
        <w:jc w:val="both"/>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我院将召开“天府院区咖啡吧一体化建设项目”院内采购会议，会议由后勤保障部组织。届时，请投标人准时参加，务必提供公司资质文件（密封盖章）、</w:t>
      </w:r>
      <w:r>
        <w:rPr>
          <w:rFonts w:hint="eastAsia" w:ascii="宋体" w:hAnsi="宋体" w:cs="宋体"/>
          <w:i w:val="0"/>
          <w:iCs w:val="0"/>
          <w:caps w:val="0"/>
          <w:color w:val="auto"/>
          <w:spacing w:val="0"/>
          <w:sz w:val="24"/>
          <w:szCs w:val="24"/>
          <w:highlight w:val="none"/>
          <w:shd w:val="clear" w:color="auto" w:fill="FFFFFF"/>
          <w:lang w:val="en-US" w:eastAsia="zh-CN"/>
        </w:rPr>
        <w:t>采购投标</w:t>
      </w:r>
      <w:r>
        <w:rPr>
          <w:rFonts w:hint="eastAsia" w:ascii="宋体" w:hAnsi="宋体" w:eastAsia="宋体" w:cs="宋体"/>
          <w:i w:val="0"/>
          <w:iCs w:val="0"/>
          <w:caps w:val="0"/>
          <w:color w:val="auto"/>
          <w:spacing w:val="0"/>
          <w:sz w:val="24"/>
          <w:szCs w:val="24"/>
          <w:highlight w:val="none"/>
          <w:shd w:val="clear" w:color="auto" w:fill="FFFFFF"/>
          <w:lang w:val="en-US" w:eastAsia="zh-CN"/>
        </w:rPr>
        <w:t>文件（密封盖章）、报价一览表（密封盖章）等资料，具体事项如下：</w:t>
      </w:r>
    </w:p>
    <w:p>
      <w:pPr>
        <w:pStyle w:val="9"/>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会议时间：</w:t>
      </w:r>
      <w:r>
        <w:rPr>
          <w:rFonts w:hint="eastAsia" w:ascii="宋体" w:hAnsi="宋体" w:cs="宋体"/>
          <w:i w:val="0"/>
          <w:iCs w:val="0"/>
          <w:caps w:val="0"/>
          <w:color w:val="auto"/>
          <w:spacing w:val="0"/>
          <w:sz w:val="24"/>
          <w:szCs w:val="24"/>
          <w:highlight w:val="none"/>
          <w:shd w:val="clear" w:color="auto" w:fill="FFFFFF"/>
          <w:lang w:eastAsia="zh-CN"/>
        </w:rPr>
        <w:t>2023年11月24日（星期五）上午9:00</w:t>
      </w:r>
    </w:p>
    <w:p>
      <w:pPr>
        <w:pStyle w:val="9"/>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会议地点：四川省妇幼保健院</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color="auto" w:fill="FFFFFF"/>
        </w:rPr>
        <w:t xml:space="preserve">      </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后勤保障部、院内专家及院外专家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4.投标人的要求（其中4.2.1-4.2.</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为资格证明文件）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4.2.1有效的三证合一营业执照（副本）；</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4.2.3</w:t>
      </w:r>
      <w:r>
        <w:rPr>
          <w:rFonts w:hint="eastAsia" w:ascii="宋体" w:hAnsi="宋体" w:eastAsia="宋体" w:cs="宋体"/>
          <w:color w:val="auto"/>
          <w:kern w:val="2"/>
          <w:sz w:val="24"/>
          <w:szCs w:val="24"/>
          <w:highlight w:val="none"/>
          <w:lang w:val="en-US" w:eastAsia="zh-CN" w:bidi="ar-SA"/>
        </w:rPr>
        <w:t>投标人</w:t>
      </w:r>
      <w:r>
        <w:rPr>
          <w:rFonts w:hint="eastAsia" w:ascii="宋体" w:hAnsi="宋体" w:cs="宋体"/>
          <w:color w:val="auto"/>
          <w:kern w:val="2"/>
          <w:sz w:val="24"/>
          <w:szCs w:val="24"/>
          <w:highlight w:val="none"/>
          <w:lang w:val="en-US" w:eastAsia="zh-CN" w:bidi="ar-SA"/>
        </w:rPr>
        <w:t>必须具有有效期内</w:t>
      </w:r>
      <w:r>
        <w:rPr>
          <w:rFonts w:hint="eastAsia" w:ascii="宋体" w:hAnsi="宋体" w:eastAsia="宋体" w:cs="宋体"/>
          <w:color w:val="auto"/>
          <w:kern w:val="2"/>
          <w:sz w:val="24"/>
          <w:szCs w:val="24"/>
          <w:highlight w:val="none"/>
          <w:lang w:val="en-US" w:eastAsia="zh-CN" w:bidi="ar-SA"/>
        </w:rPr>
        <w:t>建筑工程施工总承包三级</w:t>
      </w:r>
      <w:r>
        <w:rPr>
          <w:rFonts w:hint="eastAsia" w:ascii="宋体" w:hAnsi="宋体" w:cs="宋体"/>
          <w:color w:val="auto"/>
          <w:kern w:val="2"/>
          <w:sz w:val="24"/>
          <w:szCs w:val="24"/>
          <w:highlight w:val="none"/>
          <w:lang w:val="en-US" w:eastAsia="zh-CN" w:bidi="ar-SA"/>
        </w:rPr>
        <w:t>及以上资质证书</w:t>
      </w:r>
      <w:r>
        <w:rPr>
          <w:rFonts w:hint="eastAsia" w:ascii="宋体" w:hAnsi="宋体" w:eastAsia="宋体" w:cs="宋体"/>
          <w:color w:val="auto"/>
          <w:kern w:val="2"/>
          <w:sz w:val="24"/>
          <w:szCs w:val="24"/>
          <w:highlight w:val="none"/>
          <w:lang w:val="en-US" w:eastAsia="zh-CN" w:bidi="ar-SA"/>
        </w:rPr>
        <w:t>；</w:t>
      </w:r>
    </w:p>
    <w:p>
      <w:pPr>
        <w:keepNext w:val="0"/>
        <w:keepLines w:val="0"/>
        <w:pageBreakBefore w:val="0"/>
        <w:kinsoku/>
        <w:wordWrap/>
        <w:overflowPunct/>
        <w:topLinePunct w:val="0"/>
        <w:bidi w:val="0"/>
        <w:spacing w:before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4.2.4 </w:t>
      </w:r>
      <w:r>
        <w:rPr>
          <w:rFonts w:hint="eastAsia" w:ascii="宋体" w:hAnsi="宋体" w:eastAsia="宋体" w:cs="宋体"/>
          <w:color w:val="auto"/>
          <w:sz w:val="24"/>
          <w:szCs w:val="24"/>
          <w:highlight w:val="none"/>
          <w:lang w:val="en-US" w:eastAsia="zh-CN"/>
        </w:rPr>
        <w:t>投标人必须具备有效期内的《安全生产许可证》</w:t>
      </w:r>
      <w:r>
        <w:rPr>
          <w:rFonts w:hint="eastAsia" w:ascii="宋体" w:hAnsi="宋体" w:eastAsia="宋体" w:cs="宋体"/>
          <w:b w:val="0"/>
          <w:i w:val="0"/>
          <w:caps w:val="0"/>
          <w:color w:val="auto"/>
          <w:spacing w:val="0"/>
          <w:sz w:val="24"/>
          <w:szCs w:val="24"/>
          <w:highlight w:val="none"/>
          <w:shd w:val="clear" w:color="auto" w:fill="F4F5F6"/>
          <w:vertAlign w:val="baseline"/>
          <w:lang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eastAsia="宋体" w:cs="宋体"/>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投标人应承诺能够按照采购人要求及时签署合同，按照购销合同规定的品牌、产地、质量、价格、规格、有效期</w:t>
      </w:r>
      <w:r>
        <w:rPr>
          <w:rFonts w:hint="eastAsia" w:ascii="宋体" w:hAnsi="宋体" w:eastAsia="宋体" w:cs="宋体"/>
          <w:i w:val="0"/>
          <w:iCs w:val="0"/>
          <w:caps w:val="0"/>
          <w:color w:val="auto"/>
          <w:spacing w:val="0"/>
          <w:sz w:val="24"/>
          <w:szCs w:val="24"/>
          <w:highlight w:val="none"/>
          <w:shd w:val="clear" w:color="auto" w:fill="FFFFFF"/>
          <w:lang w:val="en-US" w:eastAsia="zh-CN"/>
        </w:rPr>
        <w:t>等</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4.2.</w:t>
      </w:r>
      <w:r>
        <w:rPr>
          <w:rFonts w:hint="eastAsia" w:ascii="宋体" w:hAnsi="宋体" w:eastAsia="宋体" w:cs="宋体"/>
          <w:i w:val="0"/>
          <w:iCs w:val="0"/>
          <w:caps w:val="0"/>
          <w:color w:val="auto"/>
          <w:spacing w:val="0"/>
          <w:sz w:val="24"/>
          <w:szCs w:val="24"/>
          <w:highlight w:val="none"/>
          <w:shd w:val="clear" w:color="auto" w:fill="FFFFFF"/>
          <w:lang w:val="en-US" w:eastAsia="zh-CN"/>
        </w:rPr>
        <w:t>8</w:t>
      </w:r>
      <w:r>
        <w:rPr>
          <w:rFonts w:hint="eastAsia" w:ascii="宋体" w:hAnsi="宋体" w:eastAsia="宋体" w:cs="宋体"/>
          <w:i w:val="0"/>
          <w:iCs w:val="0"/>
          <w:caps w:val="0"/>
          <w:color w:val="auto"/>
          <w:spacing w:val="0"/>
          <w:sz w:val="24"/>
          <w:szCs w:val="24"/>
          <w:highlight w:val="none"/>
          <w:shd w:val="clear" w:color="auto" w:fill="FFFFFF"/>
        </w:rPr>
        <w:t>投标人应在采购文件书中按采购公告的规定和要求附上所有的资格证明文件，要求提供复印件的必须加盖单位印章，并在必要时提供原件备查。</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2023年11月</w:t>
      </w: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cs="宋体"/>
          <w:i w:val="0"/>
          <w:iCs w:val="0"/>
          <w:caps w:val="0"/>
          <w:color w:val="auto"/>
          <w:spacing w:val="0"/>
          <w:sz w:val="24"/>
          <w:szCs w:val="24"/>
          <w:highlight w:val="none"/>
          <w:shd w:val="clear" w:color="auto" w:fill="FFFFFF"/>
          <w:lang w:eastAsia="zh-CN"/>
        </w:rPr>
        <w:t>4日（星期五）上午9:00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4.2.1-4.2.</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 xml:space="preserve"> 8.1　</w:t>
      </w:r>
      <w:r>
        <w:rPr>
          <w:rFonts w:hint="eastAsia" w:ascii="宋体" w:hAnsi="宋体" w:cs="宋体"/>
          <w:i w:val="0"/>
          <w:iCs w:val="0"/>
          <w:caps w:val="0"/>
          <w:color w:val="auto"/>
          <w:spacing w:val="0"/>
          <w:sz w:val="24"/>
          <w:szCs w:val="24"/>
          <w:highlight w:val="none"/>
          <w:shd w:val="clear" w:color="auto" w:fill="FFFFFF"/>
          <w:lang w:eastAsia="zh-CN"/>
        </w:rPr>
        <w:t>2023年11月</w:t>
      </w: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cs="宋体"/>
          <w:i w:val="0"/>
          <w:iCs w:val="0"/>
          <w:caps w:val="0"/>
          <w:color w:val="auto"/>
          <w:spacing w:val="0"/>
          <w:sz w:val="24"/>
          <w:szCs w:val="24"/>
          <w:highlight w:val="none"/>
          <w:shd w:val="clear" w:color="auto" w:fill="FFFFFF"/>
          <w:lang w:eastAsia="zh-CN"/>
        </w:rPr>
        <w:t>4日（星期五）上午9:00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 xml:space="preserve"> 8.4　</w:t>
      </w:r>
      <w:r>
        <w:rPr>
          <w:rFonts w:hint="eastAsia" w:ascii="宋体" w:hAnsi="宋体" w:cs="宋体"/>
          <w:i w:val="0"/>
          <w:iCs w:val="0"/>
          <w:caps w:val="0"/>
          <w:color w:val="auto"/>
          <w:spacing w:val="0"/>
          <w:sz w:val="24"/>
          <w:szCs w:val="24"/>
          <w:highlight w:val="none"/>
          <w:shd w:val="clear" w:color="auto" w:fill="FFFFFF"/>
          <w:lang w:eastAsia="zh-CN"/>
        </w:rPr>
        <w:t>2023年11月</w:t>
      </w: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cs="宋体"/>
          <w:i w:val="0"/>
          <w:iCs w:val="0"/>
          <w:caps w:val="0"/>
          <w:color w:val="auto"/>
          <w:spacing w:val="0"/>
          <w:sz w:val="24"/>
          <w:szCs w:val="24"/>
          <w:highlight w:val="none"/>
          <w:shd w:val="clear" w:color="auto" w:fill="FFFFFF"/>
          <w:lang w:eastAsia="zh-CN"/>
        </w:rPr>
        <w:t>4日（星期五）上午9:00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9.其它说明：</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lang w:val="en-US" w:eastAsia="zh-CN"/>
        </w:rPr>
        <w:t>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9.2确定的成交投标人需在约定时间内完成此次采购项目交付。</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9.3</w:t>
      </w:r>
      <w:r>
        <w:rPr>
          <w:rFonts w:hint="eastAsia" w:ascii="宋体" w:hAnsi="宋体" w:eastAsia="宋体" w:cs="宋体"/>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胡</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r>
        <w:rPr>
          <w:rFonts w:hint="eastAsia" w:ascii="宋体" w:hAnsi="宋体" w:eastAsia="宋体" w:cs="宋体"/>
          <w:i w:val="0"/>
          <w:iCs w:val="0"/>
          <w:caps w:val="0"/>
          <w:color w:val="auto"/>
          <w:spacing w:val="0"/>
          <w:sz w:val="24"/>
          <w:szCs w:val="24"/>
          <w:highlight w:val="none"/>
          <w:shd w:val="clear" w:color="auto" w:fill="FFFFFF"/>
        </w:rPr>
        <w:t>  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240" w:firstLineChars="1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lang w:val="en-US" w:eastAsia="zh-CN"/>
        </w:rPr>
        <w:t>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3"/>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pStyle w:val="4"/>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bookmarkStart w:id="24" w:name="_GoBack"/>
      <w:bookmarkEnd w:id="24"/>
    </w:p>
    <w:p>
      <w:pPr>
        <w:keepNext/>
        <w:keepLines/>
        <w:spacing w:before="340" w:after="330" w:line="240" w:lineRule="atLeast"/>
        <w:jc w:val="center"/>
        <w:outlineLvl w:val="0"/>
        <w:rPr>
          <w:rFonts w:hint="eastAsia" w:ascii="宋体" w:hAnsi="宋体" w:eastAsia="宋体" w:cs="宋体"/>
          <w:b/>
          <w:bCs/>
          <w:kern w:val="44"/>
          <w:sz w:val="24"/>
          <w:szCs w:val="24"/>
        </w:rPr>
      </w:pPr>
      <w:r>
        <w:rPr>
          <w:rFonts w:hint="eastAsia" w:ascii="宋体" w:hAnsi="宋体" w:eastAsia="宋体" w:cs="宋体"/>
          <w:b/>
          <w:bCs/>
          <w:kern w:val="44"/>
          <w:sz w:val="24"/>
          <w:szCs w:val="24"/>
        </w:rPr>
        <w:t>招标项目技术、服务及商务要求</w:t>
      </w:r>
    </w:p>
    <w:p>
      <w:pPr>
        <w:spacing w:after="160" w:line="259" w:lineRule="auto"/>
        <w:rPr>
          <w:rFonts w:hint="eastAsia" w:ascii="宋体" w:hAnsi="宋体" w:eastAsia="宋体" w:cs="宋体"/>
          <w:b/>
          <w:sz w:val="24"/>
          <w:szCs w:val="24"/>
        </w:rPr>
      </w:pPr>
      <w:bookmarkStart w:id="0" w:name="_Toc217446094"/>
      <w:r>
        <w:rPr>
          <w:rFonts w:hint="eastAsia" w:ascii="宋体" w:hAnsi="宋体" w:eastAsia="宋体" w:cs="宋体"/>
          <w:b/>
          <w:sz w:val="24"/>
          <w:szCs w:val="24"/>
        </w:rPr>
        <w:t>前提：本章中标注“★”的条款为本项目的实质性条款，投标人不满足的，将按照无效投标处理。</w:t>
      </w:r>
    </w:p>
    <w:p>
      <w:pPr>
        <w:keepNext/>
        <w:keepLines/>
        <w:spacing w:before="80" w:after="80" w:line="360" w:lineRule="auto"/>
        <w:ind w:firstLine="482"/>
        <w:outlineLvl w:val="1"/>
        <w:rPr>
          <w:rFonts w:hint="eastAsia" w:ascii="宋体" w:hAnsi="宋体" w:eastAsia="宋体" w:cs="宋体"/>
          <w:b/>
          <w:bCs/>
          <w:sz w:val="24"/>
          <w:szCs w:val="24"/>
        </w:rPr>
      </w:pPr>
      <w:r>
        <w:rPr>
          <w:rFonts w:hint="eastAsia" w:ascii="宋体" w:hAnsi="宋体" w:eastAsia="宋体" w:cs="宋体"/>
          <w:b/>
          <w:bCs/>
          <w:sz w:val="24"/>
          <w:szCs w:val="24"/>
        </w:rPr>
        <w:t>一、项目概述</w:t>
      </w:r>
      <w:bookmarkEnd w:id="0"/>
    </w:p>
    <w:p>
      <w:pPr>
        <w:keepNext/>
        <w:keepLines/>
        <w:spacing w:before="80" w:after="80" w:line="360" w:lineRule="auto"/>
        <w:ind w:firstLine="482"/>
        <w:outlineLvl w:val="2"/>
        <w:rPr>
          <w:rFonts w:hint="eastAsia" w:ascii="宋体" w:hAnsi="宋体" w:eastAsia="宋体" w:cs="宋体"/>
          <w:b/>
          <w:sz w:val="24"/>
          <w:szCs w:val="24"/>
        </w:rPr>
      </w:pPr>
      <w:bookmarkStart w:id="1" w:name="_Toc217446095"/>
      <w:r>
        <w:rPr>
          <w:rFonts w:hint="eastAsia" w:ascii="宋体" w:hAnsi="宋体" w:eastAsia="宋体" w:cs="宋体"/>
          <w:b/>
          <w:sz w:val="24"/>
          <w:szCs w:val="24"/>
        </w:rPr>
        <w:t>（一）</w:t>
      </w:r>
      <w:r>
        <w:rPr>
          <w:rFonts w:hint="eastAsia" w:ascii="宋体" w:hAnsi="宋体" w:eastAsia="宋体" w:cs="宋体"/>
          <w:b/>
          <w:bCs/>
          <w:sz w:val="24"/>
          <w:szCs w:val="24"/>
        </w:rPr>
        <w:t>项目基本情况</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本项目内容为按照设计任务书要求规划设计（含方案设计及施工图设计）并施工建设</w:t>
      </w:r>
      <w:r>
        <w:rPr>
          <w:rFonts w:hint="eastAsia" w:ascii="宋体" w:hAnsi="宋体" w:eastAsia="宋体" w:cs="宋体"/>
          <w:bCs/>
          <w:sz w:val="24"/>
          <w:szCs w:val="24"/>
          <w:lang w:val="en-US" w:eastAsia="zh-CN"/>
        </w:rPr>
        <w:t>天府院区咖啡吧</w:t>
      </w:r>
      <w:r>
        <w:rPr>
          <w:rFonts w:hint="eastAsia" w:ascii="宋体" w:hAnsi="宋体" w:eastAsia="宋体" w:cs="宋体"/>
          <w:bCs/>
          <w:sz w:val="24"/>
          <w:szCs w:val="24"/>
        </w:rPr>
        <w:t>。同时，委托第三方完成施工图审查，竣工后按照设计任务书中要求相关验收规范完成并出具第三方单位相关质量检测合格报告。</w:t>
      </w:r>
    </w:p>
    <w:p>
      <w:pPr>
        <w:keepNext/>
        <w:keepLines/>
        <w:spacing w:before="80" w:after="80" w:line="360" w:lineRule="auto"/>
        <w:ind w:firstLine="482"/>
        <w:outlineLvl w:val="1"/>
        <w:rPr>
          <w:rFonts w:hint="eastAsia" w:ascii="宋体" w:hAnsi="宋体" w:eastAsia="宋体" w:cs="宋体"/>
          <w:b/>
          <w:bCs/>
          <w:sz w:val="24"/>
          <w:szCs w:val="24"/>
        </w:rPr>
      </w:pPr>
      <w:r>
        <w:rPr>
          <w:rFonts w:hint="eastAsia" w:ascii="宋体" w:hAnsi="宋体" w:eastAsia="宋体" w:cs="宋体"/>
          <w:b/>
          <w:bCs/>
          <w:sz w:val="24"/>
          <w:szCs w:val="24"/>
        </w:rPr>
        <w:t>★二、商务要求</w:t>
      </w:r>
    </w:p>
    <w:p>
      <w:pPr>
        <w:keepNext/>
        <w:keepLines/>
        <w:spacing w:before="80" w:after="80" w:line="360" w:lineRule="auto"/>
        <w:ind w:firstLine="482"/>
        <w:outlineLvl w:val="2"/>
        <w:rPr>
          <w:rFonts w:hint="eastAsia" w:ascii="宋体" w:hAnsi="宋体" w:eastAsia="宋体" w:cs="宋体"/>
          <w:b/>
          <w:sz w:val="24"/>
          <w:szCs w:val="24"/>
        </w:rPr>
      </w:pPr>
      <w:r>
        <w:rPr>
          <w:rFonts w:hint="eastAsia" w:ascii="宋体" w:hAnsi="宋体" w:eastAsia="宋体" w:cs="宋体"/>
          <w:b/>
          <w:sz w:val="24"/>
          <w:szCs w:val="24"/>
        </w:rPr>
        <w:t>（一）建设时间</w:t>
      </w:r>
    </w:p>
    <w:p>
      <w:pPr>
        <w:adjustRightInd w:val="0"/>
        <w:snapToGrid w:val="0"/>
        <w:spacing w:before="80" w:after="80" w:line="360" w:lineRule="auto"/>
        <w:ind w:firstLine="480"/>
        <w:rPr>
          <w:rFonts w:hint="eastAsia" w:ascii="宋体" w:hAnsi="宋体" w:eastAsia="宋体" w:cs="宋体"/>
          <w:sz w:val="24"/>
          <w:szCs w:val="24"/>
        </w:rPr>
      </w:pPr>
      <w:r>
        <w:rPr>
          <w:rFonts w:hint="eastAsia" w:ascii="宋体" w:hAnsi="宋体" w:eastAsia="宋体" w:cs="宋体"/>
          <w:sz w:val="24"/>
          <w:szCs w:val="24"/>
        </w:rPr>
        <w:t>合同签订</w:t>
      </w:r>
      <w:r>
        <w:rPr>
          <w:rFonts w:hint="eastAsia" w:ascii="宋体" w:hAnsi="宋体" w:eastAsia="宋体" w:cs="宋体"/>
          <w:bCs/>
          <w:sz w:val="24"/>
          <w:szCs w:val="24"/>
        </w:rPr>
        <w:t>生效</w:t>
      </w:r>
      <w:r>
        <w:rPr>
          <w:rFonts w:hint="eastAsia" w:ascii="宋体" w:hAnsi="宋体" w:eastAsia="宋体" w:cs="宋体"/>
          <w:sz w:val="24"/>
          <w:szCs w:val="24"/>
        </w:rPr>
        <w:t>之日起，设计工作须在</w:t>
      </w:r>
      <w:r>
        <w:rPr>
          <w:rFonts w:hint="eastAsia" w:ascii="宋体" w:hAnsi="宋体" w:eastAsia="宋体" w:cs="宋体"/>
          <w:sz w:val="24"/>
          <w:szCs w:val="24"/>
          <w:lang w:val="en-US" w:eastAsia="zh-CN"/>
        </w:rPr>
        <w:t>1</w:t>
      </w:r>
      <w:r>
        <w:rPr>
          <w:rFonts w:hint="eastAsia" w:ascii="宋体" w:hAnsi="宋体" w:eastAsia="宋体" w:cs="宋体"/>
          <w:sz w:val="24"/>
          <w:szCs w:val="24"/>
        </w:rPr>
        <w:t>0天内完成，施工周期为</w:t>
      </w:r>
      <w:r>
        <w:rPr>
          <w:rFonts w:hint="eastAsia" w:ascii="宋体" w:hAnsi="宋体" w:eastAsia="宋体" w:cs="宋体"/>
          <w:sz w:val="24"/>
          <w:szCs w:val="24"/>
          <w:lang w:val="en-US" w:eastAsia="zh-CN"/>
        </w:rPr>
        <w:t>2</w:t>
      </w:r>
      <w:r>
        <w:rPr>
          <w:rFonts w:hint="eastAsia" w:ascii="宋体" w:hAnsi="宋体" w:eastAsia="宋体" w:cs="宋体"/>
          <w:sz w:val="24"/>
          <w:szCs w:val="24"/>
        </w:rPr>
        <w:t>0天内完成。</w:t>
      </w:r>
    </w:p>
    <w:p>
      <w:pPr>
        <w:keepNext/>
        <w:keepLines/>
        <w:spacing w:before="80" w:after="80" w:line="360" w:lineRule="auto"/>
        <w:ind w:firstLine="482"/>
        <w:outlineLvl w:val="2"/>
        <w:rPr>
          <w:rFonts w:hint="eastAsia" w:ascii="宋体" w:hAnsi="宋体" w:eastAsia="宋体" w:cs="宋体"/>
          <w:b/>
          <w:sz w:val="24"/>
          <w:szCs w:val="24"/>
        </w:rPr>
      </w:pPr>
      <w:r>
        <w:rPr>
          <w:rFonts w:hint="eastAsia" w:ascii="宋体" w:hAnsi="宋体" w:eastAsia="宋体" w:cs="宋体"/>
          <w:b/>
          <w:sz w:val="24"/>
          <w:szCs w:val="24"/>
        </w:rPr>
        <w:t>（二）建设地点及范围:</w:t>
      </w:r>
    </w:p>
    <w:p>
      <w:pPr>
        <w:adjustRightInd w:val="0"/>
        <w:snapToGrid w:val="0"/>
        <w:spacing w:before="80" w:after="80" w:line="360" w:lineRule="auto"/>
        <w:ind w:firstLine="480"/>
        <w:rPr>
          <w:rFonts w:hint="eastAsia" w:ascii="宋体" w:hAnsi="宋体" w:eastAsia="宋体" w:cs="宋体"/>
          <w:sz w:val="24"/>
          <w:szCs w:val="24"/>
        </w:rPr>
      </w:pPr>
      <w:r>
        <w:rPr>
          <w:rFonts w:hint="eastAsia" w:ascii="宋体" w:hAnsi="宋体" w:eastAsia="宋体" w:cs="宋体"/>
          <w:sz w:val="24"/>
          <w:szCs w:val="24"/>
          <w:lang w:val="en-US" w:eastAsia="zh-CN"/>
        </w:rPr>
        <w:t>岐黄二路1515号四川省妇幼保健院门诊楼1楼体检就餐区，</w:t>
      </w:r>
      <w:r>
        <w:rPr>
          <w:rFonts w:hint="eastAsia" w:ascii="宋体" w:hAnsi="宋体" w:eastAsia="宋体" w:cs="宋体"/>
          <w:sz w:val="24"/>
          <w:szCs w:val="24"/>
        </w:rPr>
        <w:t>房屋建筑面积约</w:t>
      </w:r>
      <w:r>
        <w:rPr>
          <w:rFonts w:hint="eastAsia" w:ascii="宋体" w:hAnsi="宋体" w:eastAsia="宋体" w:cs="宋体"/>
          <w:sz w:val="24"/>
          <w:szCs w:val="24"/>
          <w:lang w:val="en-US" w:eastAsia="zh-CN"/>
        </w:rPr>
        <w:t>200</w:t>
      </w:r>
      <w:r>
        <w:rPr>
          <w:rFonts w:hint="eastAsia" w:ascii="宋体" w:hAnsi="宋体" w:eastAsia="宋体" w:cs="宋体"/>
          <w:sz w:val="24"/>
          <w:szCs w:val="24"/>
        </w:rPr>
        <w:t>.00㎡，详细面积根据最终施工图为准。</w:t>
      </w:r>
    </w:p>
    <w:p>
      <w:pPr>
        <w:keepNext/>
        <w:keepLines/>
        <w:spacing w:before="80" w:after="80" w:line="360" w:lineRule="auto"/>
        <w:ind w:firstLine="482"/>
        <w:outlineLvl w:val="2"/>
        <w:rPr>
          <w:rFonts w:hint="eastAsia" w:ascii="宋体" w:hAnsi="宋体" w:eastAsia="宋体" w:cs="宋体"/>
          <w:b/>
          <w:sz w:val="24"/>
          <w:szCs w:val="24"/>
        </w:rPr>
      </w:pPr>
      <w:r>
        <w:rPr>
          <w:rFonts w:hint="eastAsia" w:ascii="宋体" w:hAnsi="宋体" w:eastAsia="宋体" w:cs="宋体"/>
          <w:b/>
          <w:sz w:val="24"/>
          <w:szCs w:val="24"/>
        </w:rPr>
        <w:t>（三）付款方法和条件：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1.合同签订生效之日起，采购人支付合同签订暂定金额的</w:t>
      </w:r>
      <w:r>
        <w:rPr>
          <w:rFonts w:hint="eastAsia" w:ascii="宋体" w:hAnsi="宋体" w:eastAsia="宋体" w:cs="宋体"/>
          <w:bCs/>
          <w:sz w:val="24"/>
          <w:szCs w:val="24"/>
          <w:lang w:val="en-US" w:eastAsia="zh-CN"/>
        </w:rPr>
        <w:t>2</w:t>
      </w:r>
      <w:r>
        <w:rPr>
          <w:rFonts w:hint="eastAsia" w:ascii="宋体" w:hAnsi="宋体" w:eastAsia="宋体" w:cs="宋体"/>
          <w:bCs/>
          <w:sz w:val="24"/>
          <w:szCs w:val="24"/>
        </w:rPr>
        <w:t>0%作为预付款；</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2.中标人完成施工图审图通过并进场施工后15日内，采购人支付至合同签订暂定金额的30%；</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3.项目完工并通过竣工验收交付使用后，采购人支付至施工图预算评审价的80%；</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4.结算款：项目竣工结算完成后，结算金额低于合同价的，项目最终结算价以支付至结算金额的97%；结算金额高于合同价的，支付至合同签订暂定价的97%。</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5.缺陷责任期（24个月）满后10日内，采购人结清剩余款项，即结算金额低于合同价的，支付结算金额的3%；结算金额高于合同价的，支付合同签订暂定价的3%。</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6.款项支付前提均为中标人向采购人出具等额有效的发票以及付款申请和相关凭证后，经采购人确认无误后办理款项支付事宜。</w:t>
      </w:r>
    </w:p>
    <w:p>
      <w:pPr>
        <w:keepNext/>
        <w:keepLines/>
        <w:spacing w:before="80" w:after="80" w:line="360" w:lineRule="auto"/>
        <w:ind w:firstLine="482"/>
        <w:outlineLvl w:val="2"/>
        <w:rPr>
          <w:rFonts w:hint="eastAsia" w:ascii="宋体" w:hAnsi="宋体" w:eastAsia="宋体" w:cs="宋体"/>
          <w:b/>
          <w:sz w:val="24"/>
          <w:szCs w:val="24"/>
        </w:rPr>
      </w:pPr>
      <w:r>
        <w:rPr>
          <w:rFonts w:hint="eastAsia" w:ascii="宋体" w:hAnsi="宋体" w:eastAsia="宋体" w:cs="宋体"/>
          <w:b/>
          <w:sz w:val="24"/>
          <w:szCs w:val="24"/>
        </w:rPr>
        <w:t>（四）履约验收要求：</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1.履约验收主体：四川省妇幼保健院</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2.履约验收时间：供应商提出验收申请之日起30日内组织验收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3.验收组织方式：自行验收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4.履约验收程序：分期验收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5.技术履约验收内容：按照本项目招标文件中“技术、服务要求”及中标人投标文件进行验收。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6.商务履约验收内容：按照本项目招标文件中“商务要求”及中标人投标文件进行验收。</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7.履约验收标准：按照本项目招标文件以及中标人的投标文件作为验收标准依据，如有不一致处在不改变招标文件实质性要求的基础上，优先按照投标文件响应的为准，其他部分以双方共同认可一致的为准。</w:t>
      </w:r>
    </w:p>
    <w:p>
      <w:pPr>
        <w:keepNext/>
        <w:keepLines/>
        <w:spacing w:before="80" w:after="80" w:line="360" w:lineRule="auto"/>
        <w:ind w:firstLine="482"/>
        <w:outlineLvl w:val="2"/>
        <w:rPr>
          <w:rFonts w:hint="eastAsia" w:ascii="宋体" w:hAnsi="宋体" w:eastAsia="宋体" w:cs="宋体"/>
          <w:b/>
          <w:sz w:val="24"/>
          <w:szCs w:val="24"/>
        </w:rPr>
      </w:pPr>
      <w:r>
        <w:rPr>
          <w:rFonts w:hint="eastAsia" w:ascii="宋体" w:hAnsi="宋体" w:eastAsia="宋体" w:cs="宋体"/>
          <w:b/>
          <w:sz w:val="24"/>
          <w:szCs w:val="24"/>
        </w:rPr>
        <w:t>（六）项目最高限价</w:t>
      </w:r>
    </w:p>
    <w:p>
      <w:pPr>
        <w:adjustRightInd w:val="0"/>
        <w:snapToGrid w:val="0"/>
        <w:spacing w:before="80" w:after="80" w:line="360" w:lineRule="auto"/>
        <w:ind w:firstLine="480"/>
        <w:rPr>
          <w:rFonts w:hint="eastAsia" w:ascii="宋体" w:hAnsi="宋体" w:eastAsia="宋体" w:cs="宋体"/>
          <w:sz w:val="24"/>
          <w:szCs w:val="24"/>
        </w:rPr>
      </w:pPr>
      <w:r>
        <w:rPr>
          <w:rFonts w:hint="eastAsia" w:ascii="宋体" w:hAnsi="宋体" w:eastAsia="宋体" w:cs="宋体"/>
          <w:sz w:val="24"/>
          <w:szCs w:val="24"/>
        </w:rPr>
        <w:t>本项目最高限价：</w:t>
      </w:r>
      <w:r>
        <w:rPr>
          <w:rFonts w:hint="eastAsia" w:ascii="宋体" w:hAnsi="宋体" w:eastAsia="宋体" w:cs="宋体"/>
          <w:sz w:val="24"/>
          <w:szCs w:val="24"/>
          <w:lang w:val="en-US" w:eastAsia="zh-CN"/>
        </w:rPr>
        <w:t>5</w:t>
      </w:r>
      <w:r>
        <w:rPr>
          <w:rFonts w:hint="eastAsia" w:ascii="宋体" w:hAnsi="宋体" w:eastAsia="宋体" w:cs="宋体"/>
          <w:sz w:val="24"/>
          <w:szCs w:val="24"/>
        </w:rPr>
        <w:t>0万。</w:t>
      </w:r>
      <w:r>
        <w:rPr>
          <w:rFonts w:hint="eastAsia" w:ascii="宋体" w:hAnsi="宋体" w:eastAsia="宋体" w:cs="宋体"/>
          <w:sz w:val="24"/>
          <w:szCs w:val="24"/>
          <w:lang w:val="en-US" w:eastAsia="zh-CN"/>
        </w:rPr>
        <w:t>本项目报价</w:t>
      </w:r>
      <w:r>
        <w:rPr>
          <w:rFonts w:hint="eastAsia" w:ascii="宋体" w:hAnsi="宋体" w:eastAsia="宋体" w:cs="宋体"/>
          <w:sz w:val="24"/>
          <w:szCs w:val="24"/>
        </w:rPr>
        <w:t>为包干报价。建安工程费由供应商应根据招标文件要求及相关资料，同时结合自身经营、管理水平，并充分考虑项目实施期间的未来市场风险，经过经济技术比较分析后，自行填报报价。所有报价不得高于最高限价，否则做否决处理。</w:t>
      </w:r>
    </w:p>
    <w:p>
      <w:pPr>
        <w:keepNext/>
        <w:keepLines/>
        <w:spacing w:before="80" w:after="80" w:line="360" w:lineRule="auto"/>
        <w:ind w:firstLine="482"/>
        <w:outlineLvl w:val="2"/>
        <w:rPr>
          <w:rFonts w:hint="eastAsia" w:ascii="宋体" w:hAnsi="宋体" w:eastAsia="宋体" w:cs="宋体"/>
          <w:b/>
          <w:sz w:val="24"/>
          <w:szCs w:val="24"/>
          <w:lang w:eastAsia="zh-CN"/>
        </w:rPr>
      </w:pPr>
      <w:r>
        <w:rPr>
          <w:rFonts w:hint="eastAsia" w:ascii="宋体" w:hAnsi="宋体" w:eastAsia="宋体" w:cs="宋体"/>
          <w:b/>
          <w:sz w:val="24"/>
          <w:szCs w:val="24"/>
        </w:rPr>
        <w:t>（七）施工图</w:t>
      </w:r>
      <w:r>
        <w:rPr>
          <w:rFonts w:hint="eastAsia" w:ascii="宋体" w:hAnsi="宋体" w:eastAsia="宋体" w:cs="宋体"/>
          <w:b/>
          <w:sz w:val="24"/>
          <w:szCs w:val="24"/>
          <w:lang w:val="en-US" w:eastAsia="zh-CN"/>
        </w:rPr>
        <w:t>造价</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投标人根据项目技术任务书完成方案设计、施工图设计并完成施工图审查工作后，经采购人委托的造价咨询单位</w:t>
      </w:r>
      <w:r>
        <w:rPr>
          <w:rFonts w:hint="eastAsia" w:ascii="宋体" w:hAnsi="宋体" w:eastAsia="宋体" w:cs="宋体"/>
          <w:bCs/>
          <w:sz w:val="24"/>
          <w:szCs w:val="24"/>
          <w:lang w:val="en-US" w:eastAsia="zh-CN"/>
        </w:rPr>
        <w:t>编制造价清单后</w:t>
      </w:r>
      <w:r>
        <w:rPr>
          <w:rFonts w:hint="eastAsia" w:ascii="宋体" w:hAnsi="宋体" w:eastAsia="宋体" w:cs="宋体"/>
          <w:bCs/>
          <w:sz w:val="24"/>
          <w:szCs w:val="24"/>
        </w:rPr>
        <w:t>的价格，并以此作为竣工结算的依据和工程进度款支付的依据。施工图预算价采用工程量清单计价模式，按现行工程量计算规范及其配套文件计量，按《四川省建设工程工程量清单计价定额》计量规则及其配套文件组价，相关材料有信息价的执行信息价，无信息价的材料价格结合市场询价等综合考虑计入施工图预算评审价。同时，投标人设计工作必须按照采购人的要求进行限额设计，经各方盖章确认的施工图预算评审价不得超过</w:t>
      </w:r>
      <w:r>
        <w:rPr>
          <w:rFonts w:hint="eastAsia" w:ascii="宋体" w:hAnsi="宋体" w:eastAsia="宋体" w:cs="宋体"/>
          <w:bCs/>
          <w:sz w:val="24"/>
          <w:szCs w:val="24"/>
          <w:lang w:val="en-US" w:eastAsia="zh-CN"/>
        </w:rPr>
        <w:t>项目</w:t>
      </w:r>
      <w:r>
        <w:rPr>
          <w:rFonts w:hint="eastAsia" w:ascii="宋体" w:hAnsi="宋体" w:eastAsia="宋体" w:cs="宋体"/>
          <w:bCs/>
          <w:sz w:val="24"/>
          <w:szCs w:val="24"/>
        </w:rPr>
        <w:t>的中标价，设计及施工内容必须满足且不限于中的所有内容；施工图预算评审价中属于投标人实施范围的漏项，投标人必须实施，但竣工结算时不再计入结算价；施工图预算评审价的依据文件和计价方式与竣工结算一致。</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八</w:t>
      </w:r>
      <w:r>
        <w:rPr>
          <w:rFonts w:hint="eastAsia" w:ascii="宋体" w:hAnsi="宋体" w:eastAsia="宋体" w:cs="宋体"/>
          <w:bCs/>
          <w:sz w:val="24"/>
          <w:szCs w:val="24"/>
          <w:lang w:eastAsia="zh-CN"/>
        </w:rPr>
        <w:t>）</w:t>
      </w:r>
      <w:r>
        <w:rPr>
          <w:rFonts w:hint="eastAsia" w:ascii="宋体" w:hAnsi="宋体" w:eastAsia="宋体" w:cs="宋体"/>
          <w:bCs/>
          <w:sz w:val="24"/>
          <w:szCs w:val="24"/>
        </w:rPr>
        <w:t>勘察现场</w:t>
      </w:r>
    </w:p>
    <w:p>
      <w:pPr>
        <w:adjustRightInd w:val="0"/>
        <w:snapToGrid w:val="0"/>
        <w:spacing w:before="80" w:after="80" w:line="360" w:lineRule="auto"/>
        <w:ind w:firstLine="480"/>
        <w:rPr>
          <w:rFonts w:hint="eastAsia" w:ascii="宋体" w:hAnsi="宋体" w:eastAsia="宋体" w:cs="宋体"/>
          <w:bCs/>
          <w:sz w:val="24"/>
          <w:szCs w:val="24"/>
        </w:rPr>
      </w:pPr>
      <w:r>
        <w:rPr>
          <w:rFonts w:hint="eastAsia" w:ascii="宋体" w:hAnsi="宋体" w:eastAsia="宋体" w:cs="宋体"/>
          <w:bCs/>
          <w:sz w:val="24"/>
          <w:szCs w:val="24"/>
        </w:rPr>
        <w:t>参加本项目的所有投标人请在2023年</w:t>
      </w:r>
      <w:r>
        <w:rPr>
          <w:rFonts w:hint="eastAsia" w:ascii="宋体" w:hAnsi="宋体" w:eastAsia="宋体" w:cs="宋体"/>
          <w:bCs/>
          <w:sz w:val="24"/>
          <w:szCs w:val="24"/>
          <w:lang w:val="en-US" w:eastAsia="zh-CN"/>
        </w:rPr>
        <w:t>11</w:t>
      </w:r>
      <w:r>
        <w:rPr>
          <w:rFonts w:hint="eastAsia" w:ascii="宋体" w:hAnsi="宋体" w:eastAsia="宋体" w:cs="宋体"/>
          <w:bCs/>
          <w:sz w:val="24"/>
          <w:szCs w:val="24"/>
        </w:rPr>
        <w:t>月</w:t>
      </w:r>
      <w:r>
        <w:rPr>
          <w:rFonts w:hint="eastAsia" w:ascii="宋体" w:hAnsi="宋体" w:eastAsia="宋体" w:cs="宋体"/>
          <w:bCs/>
          <w:sz w:val="24"/>
          <w:szCs w:val="24"/>
          <w:lang w:val="en-US" w:eastAsia="zh-CN"/>
        </w:rPr>
        <w:t>20</w:t>
      </w:r>
      <w:r>
        <w:rPr>
          <w:rFonts w:hint="eastAsia" w:ascii="宋体" w:hAnsi="宋体" w:eastAsia="宋体" w:cs="宋体"/>
          <w:bCs/>
          <w:sz w:val="24"/>
          <w:szCs w:val="24"/>
        </w:rPr>
        <w:t>日下午1</w:t>
      </w:r>
      <w:r>
        <w:rPr>
          <w:rFonts w:hint="eastAsia" w:ascii="宋体" w:hAnsi="宋体" w:eastAsia="宋体" w:cs="宋体"/>
          <w:bCs/>
          <w:sz w:val="24"/>
          <w:szCs w:val="24"/>
          <w:lang w:val="en-US" w:eastAsia="zh-CN"/>
        </w:rPr>
        <w:t>5</w:t>
      </w:r>
      <w:r>
        <w:rPr>
          <w:rFonts w:hint="eastAsia" w:ascii="宋体" w:hAnsi="宋体" w:eastAsia="宋体" w:cs="宋体"/>
          <w:bCs/>
          <w:sz w:val="24"/>
          <w:szCs w:val="24"/>
        </w:rPr>
        <w:t>:</w:t>
      </w:r>
      <w:r>
        <w:rPr>
          <w:rFonts w:hint="eastAsia" w:ascii="宋体" w:hAnsi="宋体" w:eastAsia="宋体" w:cs="宋体"/>
          <w:bCs/>
          <w:sz w:val="24"/>
          <w:szCs w:val="24"/>
          <w:lang w:val="en-US" w:eastAsia="zh-CN"/>
        </w:rPr>
        <w:t>0</w:t>
      </w:r>
      <w:r>
        <w:rPr>
          <w:rFonts w:hint="eastAsia" w:ascii="宋体" w:hAnsi="宋体" w:eastAsia="宋体" w:cs="宋体"/>
          <w:bCs/>
          <w:sz w:val="24"/>
          <w:szCs w:val="24"/>
        </w:rPr>
        <w:t>0</w:t>
      </w:r>
      <w:r>
        <w:rPr>
          <w:rFonts w:hint="eastAsia" w:ascii="宋体" w:hAnsi="宋体" w:eastAsia="宋体" w:cs="宋体"/>
          <w:bCs/>
          <w:sz w:val="24"/>
          <w:szCs w:val="24"/>
          <w:lang w:val="en-US" w:eastAsia="zh-CN"/>
        </w:rPr>
        <w:t>四川省妇幼保健院天府院区</w:t>
      </w:r>
      <w:r>
        <w:rPr>
          <w:rFonts w:hint="eastAsia" w:ascii="宋体" w:hAnsi="宋体" w:eastAsia="宋体" w:cs="宋体"/>
          <w:bCs/>
          <w:sz w:val="24"/>
          <w:szCs w:val="24"/>
        </w:rPr>
        <w:t>进行实地勘察。勘察当天，任何理由不参加实地勘察者，视作自动放弃勘察的机会。勘察现场联系人：</w:t>
      </w:r>
      <w:r>
        <w:rPr>
          <w:rFonts w:hint="eastAsia" w:ascii="宋体" w:hAnsi="宋体" w:eastAsia="宋体" w:cs="宋体"/>
          <w:bCs/>
          <w:sz w:val="24"/>
          <w:szCs w:val="24"/>
          <w:lang w:val="en-US" w:eastAsia="zh-CN"/>
        </w:rPr>
        <w:t>胡</w:t>
      </w:r>
      <w:r>
        <w:rPr>
          <w:rFonts w:hint="eastAsia" w:ascii="宋体" w:hAnsi="宋体" w:eastAsia="宋体" w:cs="宋体"/>
          <w:bCs/>
          <w:sz w:val="24"/>
          <w:szCs w:val="24"/>
        </w:rPr>
        <w:t>老师，联系电话：</w:t>
      </w:r>
      <w:r>
        <w:rPr>
          <w:rFonts w:hint="eastAsia" w:ascii="宋体" w:hAnsi="宋体" w:eastAsia="宋体" w:cs="宋体"/>
          <w:bCs/>
          <w:sz w:val="24"/>
          <w:szCs w:val="24"/>
          <w:lang w:val="en-US" w:eastAsia="zh-CN"/>
        </w:rPr>
        <w:t>028-60671078</w:t>
      </w:r>
      <w:r>
        <w:rPr>
          <w:rFonts w:hint="eastAsia" w:ascii="宋体" w:hAnsi="宋体" w:eastAsia="宋体" w:cs="宋体"/>
          <w:bCs/>
          <w:sz w:val="24"/>
          <w:szCs w:val="24"/>
        </w:rPr>
        <w:t>。</w:t>
      </w:r>
    </w:p>
    <w:p>
      <w:pPr>
        <w:adjustRightInd w:val="0"/>
        <w:snapToGrid w:val="0"/>
        <w:spacing w:before="80" w:after="80" w:line="360" w:lineRule="auto"/>
        <w:ind w:firstLine="480"/>
        <w:rPr>
          <w:rFonts w:hint="eastAsia" w:ascii="宋体" w:hAnsi="宋体" w:eastAsia="宋体" w:cs="宋体"/>
          <w:bCs/>
          <w:sz w:val="24"/>
          <w:szCs w:val="24"/>
        </w:rPr>
      </w:pPr>
    </w:p>
    <w:p>
      <w:pPr>
        <w:keepNext/>
        <w:keepLines/>
        <w:spacing w:before="80" w:after="80" w:line="360" w:lineRule="auto"/>
        <w:ind w:firstLine="482"/>
        <w:outlineLvl w:val="1"/>
        <w:rPr>
          <w:rFonts w:hint="eastAsia" w:ascii="宋体" w:hAnsi="宋体" w:eastAsia="宋体" w:cs="宋体"/>
          <w:b/>
          <w:bCs/>
          <w:sz w:val="24"/>
          <w:szCs w:val="24"/>
        </w:rPr>
      </w:pPr>
      <w:r>
        <w:rPr>
          <w:rFonts w:hint="eastAsia" w:ascii="宋体" w:hAnsi="宋体" w:eastAsia="宋体" w:cs="宋体"/>
          <w:b/>
          <w:bCs/>
          <w:sz w:val="24"/>
          <w:szCs w:val="24"/>
        </w:rPr>
        <w:t>★三、技术、服务要求</w:t>
      </w:r>
      <w:bookmarkEnd w:id="1"/>
    </w:p>
    <w:p>
      <w:pPr>
        <w:keepNext/>
        <w:keepLines/>
        <w:adjustRightInd w:val="0"/>
        <w:snapToGrid w:val="0"/>
        <w:spacing w:line="360" w:lineRule="auto"/>
        <w:ind w:firstLine="482" w:firstLineChars="200"/>
        <w:outlineLvl w:val="2"/>
        <w:rPr>
          <w:rFonts w:hint="eastAsia" w:ascii="宋体" w:hAnsi="宋体" w:eastAsia="宋体" w:cs="宋体"/>
          <w:b/>
          <w:bCs/>
          <w:sz w:val="24"/>
          <w:szCs w:val="24"/>
        </w:rPr>
      </w:pPr>
      <w:bookmarkStart w:id="2" w:name="_Toc7050"/>
      <w:bookmarkStart w:id="3" w:name="_Toc12864"/>
      <w:bookmarkStart w:id="4" w:name="_Toc11853"/>
      <w:bookmarkStart w:id="5" w:name="_Hlk149305530"/>
      <w:r>
        <w:rPr>
          <w:rFonts w:hint="eastAsia" w:ascii="宋体" w:hAnsi="宋体" w:eastAsia="宋体" w:cs="宋体"/>
          <w:b/>
          <w:bCs/>
          <w:sz w:val="24"/>
          <w:szCs w:val="24"/>
        </w:rPr>
        <w:t>1</w:t>
      </w:r>
      <w:r>
        <w:rPr>
          <w:rFonts w:hint="eastAsia" w:ascii="宋体" w:hAnsi="宋体" w:eastAsia="宋体" w:cs="宋体"/>
          <w:sz w:val="24"/>
          <w:szCs w:val="24"/>
        </w:rPr>
        <w:t>.</w:t>
      </w:r>
      <w:r>
        <w:rPr>
          <w:rFonts w:hint="eastAsia" w:ascii="宋体" w:hAnsi="宋体" w:eastAsia="宋体" w:cs="宋体"/>
          <w:b/>
          <w:bCs/>
          <w:sz w:val="24"/>
          <w:szCs w:val="24"/>
        </w:rPr>
        <w:t>项目主要组成</w:t>
      </w:r>
      <w:bookmarkEnd w:id="2"/>
      <w:bookmarkEnd w:id="3"/>
      <w:bookmarkEnd w:id="4"/>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本项目范围为项目所有改造内容，实施完成后，满足采购人可直接进行使用的条件，包括但不限于以下内容：</w:t>
      </w:r>
    </w:p>
    <w:p>
      <w:pPr>
        <w:adjustRightInd w:val="0"/>
        <w:snapToGrid w:val="0"/>
        <w:spacing w:line="360" w:lineRule="auto"/>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设备设施布置： 咖啡机、咖啡原料等专业咖啡制作设备</w:t>
      </w:r>
      <w:r>
        <w:rPr>
          <w:rFonts w:hint="eastAsia" w:ascii="宋体" w:hAnsi="宋体" w:eastAsia="宋体" w:cs="宋体"/>
          <w:sz w:val="24"/>
          <w:szCs w:val="24"/>
          <w:lang w:eastAsia="zh-CN"/>
        </w:rPr>
        <w:t>；</w:t>
      </w:r>
      <w:r>
        <w:rPr>
          <w:rFonts w:hint="eastAsia" w:ascii="宋体" w:hAnsi="宋体" w:eastAsia="宋体" w:cs="宋体"/>
          <w:sz w:val="24"/>
          <w:szCs w:val="24"/>
        </w:rPr>
        <w:t>音响设备，播放轻音乐</w:t>
      </w:r>
      <w:r>
        <w:rPr>
          <w:rFonts w:hint="eastAsia" w:ascii="宋体" w:hAnsi="宋体" w:eastAsia="宋体" w:cs="宋体"/>
          <w:sz w:val="24"/>
          <w:szCs w:val="24"/>
          <w:lang w:eastAsia="zh-CN"/>
        </w:rPr>
        <w:t>；</w:t>
      </w:r>
      <w:r>
        <w:rPr>
          <w:rFonts w:hint="eastAsia" w:ascii="宋体" w:hAnsi="宋体" w:eastAsia="宋体" w:cs="宋体"/>
          <w:sz w:val="24"/>
          <w:szCs w:val="24"/>
        </w:rPr>
        <w:t>WIFI覆盖，提供免费上网</w:t>
      </w:r>
      <w:r>
        <w:rPr>
          <w:rFonts w:hint="eastAsia" w:ascii="宋体" w:hAnsi="宋体" w:eastAsia="宋体" w:cs="宋体"/>
          <w:sz w:val="24"/>
          <w:szCs w:val="24"/>
          <w:lang w:eastAsia="zh-CN"/>
        </w:rPr>
        <w:t>；</w:t>
      </w:r>
      <w:r>
        <w:rPr>
          <w:rFonts w:hint="eastAsia" w:ascii="宋体" w:hAnsi="宋体" w:eastAsia="宋体" w:cs="宋体"/>
          <w:sz w:val="24"/>
          <w:szCs w:val="24"/>
        </w:rPr>
        <w:t xml:space="preserve"> 厨房、水槽、冰柜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展示柜</w:t>
      </w:r>
      <w:r>
        <w:rPr>
          <w:rFonts w:hint="eastAsia" w:ascii="宋体" w:hAnsi="宋体" w:eastAsia="宋体" w:cs="宋体"/>
          <w:sz w:val="24"/>
          <w:szCs w:val="24"/>
        </w:rPr>
        <w:t>等后勤设施</w:t>
      </w:r>
      <w:r>
        <w:rPr>
          <w:rFonts w:hint="eastAsia" w:ascii="宋体" w:hAnsi="宋体" w:eastAsia="宋体" w:cs="宋体"/>
          <w:sz w:val="24"/>
          <w:szCs w:val="24"/>
          <w:lang w:val="en-US" w:eastAsia="zh-CN"/>
        </w:rPr>
        <w:t>,以及开业前必备的消耗性材料（包括但不限于：一次性吸管、一次性纸杯、包装袋等）</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）本改造区域与原有建筑相衔接工作的设计（含强弱电引接、给排水（含消防）引接、暖通引接、建筑引接、结构复核等））；负责自行委托第三方施工图审查单位进行施工审查；</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）四川省妇幼保健院</w:t>
      </w:r>
      <w:r>
        <w:rPr>
          <w:rFonts w:hint="eastAsia" w:ascii="宋体" w:hAnsi="宋体" w:eastAsia="宋体" w:cs="宋体"/>
          <w:sz w:val="24"/>
          <w:szCs w:val="24"/>
          <w:lang w:val="en-US" w:eastAsia="zh-CN"/>
        </w:rPr>
        <w:t>天府院区咖啡吧</w:t>
      </w:r>
      <w:r>
        <w:rPr>
          <w:rFonts w:hint="eastAsia" w:ascii="宋体" w:hAnsi="宋体" w:eastAsia="宋体" w:cs="宋体"/>
          <w:sz w:val="24"/>
          <w:szCs w:val="24"/>
        </w:rPr>
        <w:t>所有设计等工作；</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）完工后提供相关验收规范、标准要求的第三方检测报告；</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）工程质量缺陷责任期内的所有缺陷修复和保修工作；</w:t>
      </w:r>
    </w:p>
    <w:p>
      <w:pPr>
        <w:keepNext/>
        <w:keepLines/>
        <w:adjustRightInd w:val="0"/>
        <w:snapToGrid w:val="0"/>
        <w:spacing w:line="360" w:lineRule="auto"/>
        <w:ind w:firstLine="482" w:firstLineChars="200"/>
        <w:outlineLvl w:val="2"/>
        <w:rPr>
          <w:rFonts w:hint="eastAsia" w:ascii="宋体" w:hAnsi="宋体" w:eastAsia="宋体" w:cs="宋体"/>
          <w:b/>
          <w:bCs/>
          <w:sz w:val="24"/>
          <w:szCs w:val="24"/>
        </w:rPr>
      </w:pPr>
      <w:bookmarkStart w:id="6" w:name="_Toc7737"/>
      <w:bookmarkStart w:id="7" w:name="_Toc32377"/>
      <w:bookmarkStart w:id="8" w:name="_Toc2054"/>
      <w:bookmarkStart w:id="9" w:name="_Toc4412"/>
      <w:r>
        <w:rPr>
          <w:rFonts w:hint="eastAsia" w:ascii="宋体" w:hAnsi="宋体" w:eastAsia="宋体" w:cs="宋体"/>
          <w:b/>
          <w:bCs/>
          <w:sz w:val="24"/>
          <w:szCs w:val="24"/>
        </w:rPr>
        <w:t>2.服务范围</w:t>
      </w:r>
      <w:bookmarkEnd w:id="6"/>
      <w:bookmarkEnd w:id="7"/>
      <w:bookmarkEnd w:id="8"/>
      <w:bookmarkEnd w:id="9"/>
    </w:p>
    <w:p>
      <w:pPr>
        <w:adjustRightInd w:val="0"/>
        <w:snapToGrid w:val="0"/>
        <w:spacing w:line="360" w:lineRule="auto"/>
        <w:ind w:firstLine="200"/>
        <w:outlineLvl w:val="3"/>
        <w:rPr>
          <w:rFonts w:hint="eastAsia" w:ascii="宋体" w:hAnsi="宋体" w:eastAsia="宋体" w:cs="宋体"/>
          <w:b/>
          <w:bCs/>
          <w:sz w:val="24"/>
          <w:szCs w:val="24"/>
        </w:rPr>
      </w:pPr>
      <w:bookmarkStart w:id="10" w:name="_Toc19460"/>
      <w:bookmarkStart w:id="11" w:name="_Toc27372"/>
      <w:bookmarkStart w:id="12" w:name="_Toc3472"/>
      <w:r>
        <w:rPr>
          <w:rFonts w:hint="eastAsia" w:ascii="宋体" w:hAnsi="宋体" w:eastAsia="宋体" w:cs="宋体"/>
          <w:b/>
          <w:bCs/>
          <w:sz w:val="24"/>
          <w:szCs w:val="24"/>
        </w:rPr>
        <w:t>2.1平面布局及技术要求</w:t>
      </w:r>
      <w:bookmarkEnd w:id="10"/>
      <w:bookmarkEnd w:id="11"/>
      <w:bookmarkEnd w:id="12"/>
    </w:p>
    <w:p>
      <w:pPr>
        <w:adjustRightInd w:val="0"/>
        <w:snapToGrid w:val="0"/>
        <w:spacing w:line="360" w:lineRule="auto"/>
        <w:ind w:firstLine="200"/>
        <w:outlineLvl w:val="4"/>
        <w:rPr>
          <w:rFonts w:hint="eastAsia" w:ascii="宋体" w:hAnsi="宋体" w:eastAsia="宋体" w:cs="宋体"/>
          <w:sz w:val="24"/>
          <w:szCs w:val="24"/>
        </w:rPr>
      </w:pPr>
      <w:bookmarkStart w:id="13" w:name="_Toc325"/>
      <w:bookmarkStart w:id="14" w:name="_Toc12679"/>
      <w:bookmarkStart w:id="15" w:name="_Toc108"/>
      <w:r>
        <w:rPr>
          <w:rFonts w:hint="eastAsia" w:ascii="宋体" w:hAnsi="宋体" w:eastAsia="宋体" w:cs="宋体"/>
          <w:sz w:val="24"/>
          <w:szCs w:val="24"/>
        </w:rPr>
        <w:t>2.1.1整体原则</w:t>
      </w:r>
      <w:bookmarkEnd w:id="13"/>
      <w:bookmarkEnd w:id="14"/>
      <w:bookmarkEnd w:id="15"/>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（1）整体设计统一、对外形象统一、简单适用、干净明亮、符合医院形象、洁污分明、配套设施完善、功能与设施先进完备；</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）投标人在方案设计须充分与采购人沟通，充分满足采购人要求及意图并经采购人书面确认后方可进行深化设计；深化设计须充分与采购人沟通，充分满足采购人要求并经采购人书面认可后方可进行下一步工作；</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2.1.2质量要求</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1）项目范围内的设计、施工工艺、设备及材料的选择都应具有先进性，满足医院的使用要求。设备及工艺的安排应具有先进性、高可靠性、实用性、经济性与合理性。全部技术指标，包括设备、材料、包装、运输、安装、调试、维修等各项目技术参数，必须符合本招标文件及国家规范的相关要求，采购人要求提高部分要求的则须满足采购人实际要求。</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（2）装修提供的设备、材料等符合国家质量标准，装修材料及设备绿色环保节能。</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（3）需制定符合本项目需求的施工方案与技术措施、质量控制与措施、安全管理体系与措施、文明、环境保护管理体系与措施、工期保证体系及保证措施及维修服务。</w:t>
      </w:r>
    </w:p>
    <w:p>
      <w:pPr>
        <w:adjustRightInd w:val="0"/>
        <w:snapToGrid w:val="0"/>
        <w:spacing w:line="360" w:lineRule="auto"/>
        <w:ind w:firstLine="200"/>
        <w:rPr>
          <w:rFonts w:hint="eastAsia" w:ascii="宋体" w:hAnsi="宋体" w:eastAsia="宋体" w:cs="宋体"/>
          <w:b/>
          <w:bCs/>
          <w:sz w:val="24"/>
          <w:szCs w:val="24"/>
        </w:rPr>
      </w:pPr>
      <w:r>
        <w:rPr>
          <w:rFonts w:hint="eastAsia" w:ascii="宋体" w:hAnsi="宋体" w:eastAsia="宋体" w:cs="宋体"/>
          <w:b/>
          <w:bCs/>
          <w:sz w:val="24"/>
          <w:szCs w:val="24"/>
        </w:rPr>
        <w:t>（4）涉及功能及样式的材料，在施工前须经过甲方选型确认，投标人不得未经选样擅自施工。</w:t>
      </w:r>
    </w:p>
    <w:p>
      <w:pPr>
        <w:pStyle w:val="15"/>
        <w:rPr>
          <w:rFonts w:hint="eastAsia" w:ascii="宋体" w:hAnsi="宋体" w:eastAsia="宋体" w:cs="宋体"/>
          <w:sz w:val="24"/>
          <w:szCs w:val="24"/>
        </w:rPr>
      </w:pP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2.1.3设计要求</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（1）应当总体布局合理，功能完整，合理可行。严格执行强制性标准、各项规范、规程；</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（2）要求投标人自行设计及深化图纸、施工方案及功能优化；</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（3），要营造一种温馨和谐的环境，色彩搭配要能体现中心的经营理念；</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（4）布局设计要简单、方便、快捷、利于工作中提高效率；相关连接紧密合理，选材要无毒、无味、易清洗，属环保型产品；</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（5）平面布局及流程要符合相关的国家和行业规范要求，以能满足使用科室实际需求和顺利通过上级卫生主管部门验收、评估为标准，并满足医疗场所的院感防控质量和安全防护要求；</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）投标人进场后需根据项目现场实际情况进行，原有建筑、结构、暖通、水工、弱电、医气等的复核，设计需满足原有建筑容许条件，改造内容需满足现行规范；</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2.1.4建筑装饰材料要求</w:t>
      </w:r>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材料强度、耐久性、节能、环保、防火、性能满足相关规范标准，及本实验室使用要求。应遵循不产尘、不积尘、耐腐蚀、防潮防霉、容易清洁和符合防火要求的总原则。</w:t>
      </w:r>
    </w:p>
    <w:p>
      <w:pPr>
        <w:adjustRightInd w:val="0"/>
        <w:snapToGrid w:val="0"/>
        <w:spacing w:line="360" w:lineRule="auto"/>
        <w:ind w:firstLine="200"/>
        <w:outlineLvl w:val="3"/>
        <w:rPr>
          <w:rFonts w:hint="eastAsia" w:ascii="宋体" w:hAnsi="宋体" w:eastAsia="宋体" w:cs="宋体"/>
          <w:b/>
          <w:bCs/>
          <w:sz w:val="24"/>
          <w:szCs w:val="24"/>
        </w:rPr>
      </w:pPr>
      <w:bookmarkStart w:id="16" w:name="_Toc1240"/>
      <w:bookmarkStart w:id="17" w:name="_Toc8657"/>
      <w:bookmarkStart w:id="18" w:name="_Toc17700"/>
      <w:r>
        <w:rPr>
          <w:rFonts w:hint="eastAsia" w:ascii="宋体" w:hAnsi="宋体" w:eastAsia="宋体" w:cs="宋体"/>
          <w:b/>
          <w:bCs/>
          <w:sz w:val="24"/>
          <w:szCs w:val="24"/>
        </w:rPr>
        <w:t>2.2各功能区及房间配置</w:t>
      </w:r>
      <w:bookmarkEnd w:id="16"/>
      <w:bookmarkEnd w:id="17"/>
      <w:bookmarkEnd w:id="18"/>
    </w:p>
    <w:p>
      <w:pPr>
        <w:adjustRightInd w:val="0"/>
        <w:snapToGrid w:val="0"/>
        <w:spacing w:line="360" w:lineRule="auto"/>
        <w:ind w:firstLine="200"/>
        <w:outlineLvl w:val="4"/>
        <w:rPr>
          <w:rFonts w:hint="eastAsia" w:ascii="宋体" w:hAnsi="宋体" w:eastAsia="宋体" w:cs="宋体"/>
          <w:sz w:val="24"/>
          <w:szCs w:val="24"/>
        </w:rPr>
      </w:pPr>
      <w:bookmarkStart w:id="19" w:name="_Toc26751"/>
      <w:bookmarkStart w:id="20" w:name="_Toc20821"/>
      <w:bookmarkStart w:id="21" w:name="_Toc3733"/>
      <w:r>
        <w:rPr>
          <w:rFonts w:hint="eastAsia" w:ascii="宋体" w:hAnsi="宋体" w:eastAsia="宋体" w:cs="宋体"/>
          <w:sz w:val="24"/>
          <w:szCs w:val="24"/>
        </w:rPr>
        <w:t>2.2.1建设内容：</w:t>
      </w:r>
      <w:bookmarkEnd w:id="19"/>
      <w:bookmarkEnd w:id="20"/>
      <w:bookmarkEnd w:id="21"/>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四川省妇幼保健院</w:t>
      </w:r>
      <w:r>
        <w:rPr>
          <w:rFonts w:hint="eastAsia" w:ascii="宋体" w:hAnsi="宋体" w:eastAsia="宋体" w:cs="宋体"/>
          <w:sz w:val="24"/>
          <w:szCs w:val="24"/>
          <w:lang w:val="en-US" w:eastAsia="zh-CN"/>
        </w:rPr>
        <w:t>天府院区咖啡吧</w:t>
      </w:r>
      <w:r>
        <w:rPr>
          <w:rFonts w:hint="eastAsia" w:ascii="宋体" w:hAnsi="宋体" w:eastAsia="宋体" w:cs="宋体"/>
          <w:sz w:val="24"/>
          <w:szCs w:val="24"/>
        </w:rPr>
        <w:t>其配套用房改造设计、施工（含与原有建筑衔接部分的设计及施工工作）等工作。房屋建筑面积约</w:t>
      </w:r>
      <w:r>
        <w:rPr>
          <w:rFonts w:hint="eastAsia" w:ascii="宋体" w:hAnsi="宋体" w:eastAsia="宋体" w:cs="宋体"/>
          <w:sz w:val="24"/>
          <w:szCs w:val="24"/>
          <w:lang w:val="en-US" w:eastAsia="zh-CN"/>
        </w:rPr>
        <w:t>20</w:t>
      </w:r>
      <w:r>
        <w:rPr>
          <w:rFonts w:hint="eastAsia" w:ascii="宋体" w:hAnsi="宋体" w:eastAsia="宋体" w:cs="宋体"/>
          <w:sz w:val="24"/>
          <w:szCs w:val="24"/>
        </w:rPr>
        <w:t>0.00㎡。</w:t>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改造范围原始建筑图纸（不含与医院衔接部分区域）</w:t>
      </w:r>
    </w:p>
    <w:bookmarkEnd w:id="5"/>
    <w:p>
      <w:pPr>
        <w:adjustRightInd w:val="0"/>
        <w:snapToGrid w:val="0"/>
        <w:spacing w:line="360" w:lineRule="auto"/>
        <w:rPr>
          <w:rFonts w:hint="eastAsia" w:ascii="宋体" w:hAnsi="宋体" w:eastAsia="宋体" w:cs="宋体"/>
          <w:sz w:val="24"/>
          <w:szCs w:val="24"/>
        </w:rPr>
      </w:pPr>
      <w:bookmarkStart w:id="22" w:name="_Toc22734"/>
      <w:bookmarkStart w:id="23" w:name="_Toc27574"/>
      <w:r>
        <w:rPr>
          <w:rFonts w:hint="eastAsia" w:ascii="宋体" w:hAnsi="宋体" w:eastAsia="宋体" w:cs="宋体"/>
          <w:sz w:val="24"/>
          <w:szCs w:val="24"/>
        </w:rPr>
        <w:t xml:space="preserve"> </w:t>
      </w:r>
      <w:r>
        <w:rPr>
          <w:rFonts w:hint="eastAsia" w:ascii="宋体" w:hAnsi="宋体" w:eastAsia="宋体" w:cs="宋体"/>
          <w:sz w:val="24"/>
          <w:szCs w:val="24"/>
        </w:rPr>
        <w:drawing>
          <wp:inline distT="0" distB="0" distL="114300" distR="114300">
            <wp:extent cx="5270500" cy="2968625"/>
            <wp:effectExtent l="0" t="0" r="635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0500" cy="2968625"/>
                    </a:xfrm>
                    <a:prstGeom prst="rect">
                      <a:avLst/>
                    </a:prstGeom>
                    <a:noFill/>
                    <a:ln>
                      <a:noFill/>
                    </a:ln>
                  </pic:spPr>
                </pic:pic>
              </a:graphicData>
            </a:graphic>
          </wp:inline>
        </w:drawing>
      </w:r>
    </w:p>
    <w:p>
      <w:pPr>
        <w:adjustRightInd w:val="0"/>
        <w:snapToGrid w:val="0"/>
        <w:spacing w:line="360" w:lineRule="auto"/>
        <w:ind w:firstLine="200"/>
        <w:rPr>
          <w:rFonts w:hint="eastAsia" w:ascii="宋体" w:hAnsi="宋体" w:eastAsia="宋体" w:cs="宋体"/>
          <w:sz w:val="24"/>
          <w:szCs w:val="24"/>
        </w:rPr>
      </w:pPr>
      <w:r>
        <w:rPr>
          <w:rFonts w:hint="eastAsia" w:ascii="宋体" w:hAnsi="宋体" w:eastAsia="宋体" w:cs="宋体"/>
          <w:sz w:val="24"/>
          <w:szCs w:val="24"/>
        </w:rPr>
        <w:t>2.2.2设计内容：</w:t>
      </w:r>
      <w:bookmarkEnd w:id="22"/>
      <w:bookmarkEnd w:id="23"/>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1）包括不限于本项目的室内装饰装修（含功能布局规划，方案设计（含效果图）、优化设计、施工图深化设计（含施工图预算）、家具设计与定制）、其他涉及的各专业施工图设计（含装饰装修、装修拆改，给排水（含纯水、污水）、消防（二次消防改造、火灾报警、防排烟改造）、暖通（通风空调、洁净系统）、电气系统（含电源、配电、接地、自控系统、强弱电、应急用电等）、弱电智能化系统（综合布线、室内门禁、IT网络、智能照明）；</w:t>
      </w:r>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（2）本改造区域与原有建筑相衔接工作的设计（含强弱电引接、给排水（含消防）引接、暖通引接、建筑引接、结构复核等））；</w:t>
      </w:r>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）第三方施工图审查、预算及结算编制、竣工图绘制、建筑结构复核等、协助采购人完成相应政府备案及认证工作（如有）、协助采购人完成报建手续，以及上述未涉及的但包含在合同约定的全部内容。</w:t>
      </w:r>
    </w:p>
    <w:p>
      <w:pPr>
        <w:adjustRightInd w:val="0"/>
        <w:snapToGrid w:val="0"/>
        <w:spacing w:line="360" w:lineRule="auto"/>
        <w:ind w:firstLine="468" w:firstLineChars="19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3、咖啡吧设备配置清单</w:t>
      </w:r>
    </w:p>
    <w:p>
      <w:pPr>
        <w:adjustRightInd w:val="0"/>
        <w:snapToGrid w:val="0"/>
        <w:spacing w:line="360" w:lineRule="auto"/>
        <w:ind w:firstLine="468" w:firstLineChars="195"/>
        <w:rPr>
          <w:rFonts w:hint="eastAsia" w:ascii="宋体" w:hAnsi="宋体" w:eastAsia="宋体" w:cs="宋体"/>
          <w:sz w:val="24"/>
          <w:szCs w:val="24"/>
        </w:rPr>
      </w:pPr>
      <w:r>
        <w:rPr>
          <w:rFonts w:hint="eastAsia" w:ascii="宋体" w:hAnsi="宋体" w:eastAsia="宋体" w:cs="宋体"/>
          <w:sz w:val="24"/>
          <w:szCs w:val="24"/>
        </w:rPr>
        <w:t>需要配置的主要设备包括</w:t>
      </w:r>
      <w:r>
        <w:rPr>
          <w:rFonts w:hint="eastAsia" w:ascii="宋体" w:hAnsi="宋体" w:eastAsia="宋体" w:cs="宋体"/>
          <w:sz w:val="24"/>
          <w:szCs w:val="24"/>
          <w:lang w:val="en-US" w:eastAsia="zh-CN"/>
        </w:rPr>
        <w:t>但不限于</w:t>
      </w:r>
      <w:r>
        <w:rPr>
          <w:rFonts w:hint="eastAsia" w:ascii="宋体" w:hAnsi="宋体" w:eastAsia="宋体" w:cs="宋体"/>
          <w:sz w:val="24"/>
          <w:szCs w:val="24"/>
        </w:rPr>
        <w:t>：</w:t>
      </w:r>
    </w:p>
    <w:tbl>
      <w:tblPr>
        <w:tblStyle w:val="10"/>
        <w:tblW w:w="660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6"/>
        <w:gridCol w:w="3138"/>
        <w:gridCol w:w="24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606" w:type="dxa"/>
            <w:gridSpan w:val="3"/>
            <w:tcBorders>
              <w:top w:val="single" w:color="000000" w:sz="8" w:space="0"/>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设备配置清单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商品名称</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最低配置数量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意式咖啡机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电控磨豆机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咖啡机专用制冰机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蛋糕甜点展示柜</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水吧专用操作台</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冷冻操作台</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冷藏操作台</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奶茶制冰机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纯水机（四级）</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咖啡机渣粉盒</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开水机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静音破壁机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定量果糖机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气泡机</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商用微波炉</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商用烤箱</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1台</w:t>
            </w:r>
          </w:p>
        </w:tc>
      </w:tr>
    </w:tbl>
    <w:p>
      <w:pPr>
        <w:adjustRightInd w:val="0"/>
        <w:snapToGrid w:val="0"/>
        <w:spacing w:line="360" w:lineRule="auto"/>
        <w:ind w:firstLine="468" w:firstLineChars="195"/>
        <w:rPr>
          <w:rFonts w:hint="eastAsia" w:ascii="宋体" w:hAnsi="宋体" w:eastAsia="宋体" w:cs="宋体"/>
          <w:sz w:val="24"/>
          <w:szCs w:val="24"/>
          <w:lang w:val="en-US" w:eastAsia="zh-CN"/>
        </w:rPr>
      </w:pPr>
    </w:p>
    <w:p>
      <w:pPr>
        <w:adjustRightInd w:val="0"/>
        <w:snapToGrid w:val="0"/>
        <w:spacing w:line="360" w:lineRule="auto"/>
        <w:ind w:firstLine="468" w:firstLineChars="195"/>
        <w:rPr>
          <w:rFonts w:hint="eastAsia" w:ascii="宋体" w:hAnsi="宋体" w:eastAsia="宋体" w:cs="宋体"/>
          <w:sz w:val="24"/>
          <w:szCs w:val="24"/>
          <w:lang w:val="en-US" w:eastAsia="zh-CN"/>
        </w:rPr>
      </w:pPr>
    </w:p>
    <w:p>
      <w:pPr>
        <w:adjustRightInd w:val="0"/>
        <w:snapToGrid w:val="0"/>
        <w:spacing w:after="0" w:line="360" w:lineRule="auto"/>
        <w:ind w:firstLine="470" w:firstLineChars="195"/>
        <w:outlineLvl w:val="3"/>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质保期</w:t>
      </w:r>
    </w:p>
    <w:p>
      <w:pPr>
        <w:widowControl/>
        <w:autoSpaceDE w:val="0"/>
        <w:autoSpaceDN w:val="0"/>
        <w:adjustRightInd w:val="0"/>
        <w:snapToGrid w:val="0"/>
        <w:spacing w:after="0" w:line="360" w:lineRule="auto"/>
        <w:ind w:firstLine="468" w:firstLineChars="195"/>
        <w:jc w:val="left"/>
        <w:rPr>
          <w:rFonts w:hint="eastAsia" w:ascii="宋体" w:hAnsi="宋体" w:eastAsia="宋体" w:cs="宋体"/>
          <w:sz w:val="24"/>
          <w:szCs w:val="24"/>
        </w:rPr>
      </w:pPr>
      <w:r>
        <w:rPr>
          <w:rFonts w:hint="eastAsia" w:ascii="宋体" w:hAnsi="宋体" w:eastAsia="宋体" w:cs="宋体"/>
          <w:sz w:val="24"/>
          <w:szCs w:val="24"/>
        </w:rPr>
        <w:t>双方根据《建设工程质量管理条例》及有关规定，要求本工程的质保期如下：</w:t>
      </w:r>
    </w:p>
    <w:p>
      <w:pPr>
        <w:widowControl/>
        <w:autoSpaceDE w:val="0"/>
        <w:autoSpaceDN w:val="0"/>
        <w:adjustRightInd w:val="0"/>
        <w:snapToGrid w:val="0"/>
        <w:spacing w:after="0" w:line="360" w:lineRule="auto"/>
        <w:ind w:firstLine="468" w:firstLineChars="195"/>
        <w:jc w:val="left"/>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）装修工程为2年；</w:t>
      </w:r>
    </w:p>
    <w:p>
      <w:pPr>
        <w:pStyle w:val="15"/>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）电气管线、给排水管道、设备安装工程为2年；</w:t>
      </w:r>
    </w:p>
    <w:p>
      <w:pPr>
        <w:pStyle w:val="15"/>
        <w:rPr>
          <w:rFonts w:hint="eastAsia" w:ascii="宋体" w:hAnsi="宋体" w:eastAsia="宋体" w:cs="宋体"/>
          <w:sz w:val="24"/>
          <w:szCs w:val="24"/>
        </w:rPr>
      </w:pPr>
    </w:p>
    <w:p>
      <w:pPr>
        <w:adjustRightInd w:val="0"/>
        <w:snapToGrid w:val="0"/>
        <w:spacing w:line="360" w:lineRule="auto"/>
        <w:ind w:firstLine="200"/>
        <w:rPr>
          <w:rFonts w:hint="eastAsia" w:ascii="宋体" w:hAnsi="宋体" w:eastAsia="宋体" w:cs="宋体"/>
          <w:sz w:val="24"/>
          <w:szCs w:val="24"/>
          <w:lang w:val="en-US" w:eastAsia="zh-CN"/>
        </w:rPr>
      </w:pPr>
    </w:p>
    <w:p>
      <w:pPr>
        <w:adjustRightInd w:val="0"/>
        <w:snapToGrid w:val="0"/>
        <w:spacing w:line="360" w:lineRule="auto"/>
        <w:ind w:firstLine="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评分标准</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1150"/>
        <w:gridCol w:w="1003"/>
        <w:gridCol w:w="5216"/>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序号</w:t>
            </w:r>
          </w:p>
        </w:tc>
        <w:tc>
          <w:tcPr>
            <w:tcW w:w="619"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评分因素</w:t>
            </w:r>
          </w:p>
        </w:tc>
        <w:tc>
          <w:tcPr>
            <w:tcW w:w="540"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分　值</w:t>
            </w:r>
          </w:p>
        </w:tc>
        <w:tc>
          <w:tcPr>
            <w:tcW w:w="280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评分标准</w:t>
            </w:r>
          </w:p>
        </w:tc>
        <w:tc>
          <w:tcPr>
            <w:tcW w:w="635" w:type="pct"/>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1</w:t>
            </w:r>
          </w:p>
        </w:tc>
        <w:tc>
          <w:tcPr>
            <w:tcW w:w="619"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报价</w:t>
            </w:r>
          </w:p>
        </w:tc>
        <w:tc>
          <w:tcPr>
            <w:tcW w:w="540"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10分</w:t>
            </w:r>
          </w:p>
        </w:tc>
        <w:tc>
          <w:tcPr>
            <w:tcW w:w="2808" w:type="pct"/>
            <w:vAlign w:val="center"/>
          </w:tcPr>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rPr>
              <w:t>1、设计部分</w:t>
            </w:r>
            <w:r>
              <w:rPr>
                <w:rFonts w:hint="eastAsia" w:ascii="宋体" w:hAnsi="宋体" w:eastAsia="宋体" w:cs="宋体"/>
                <w:b/>
                <w:bCs/>
                <w:sz w:val="24"/>
                <w:szCs w:val="24"/>
                <w:lang w:val="en-US" w:eastAsia="zh-CN"/>
              </w:rPr>
              <w:t>及施工部分</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满足招标文件要求且投标价格最低的报价为基准价，其价格分为满分。其他供应商的价格分统一按照下列公式计算：报价得分=(基准价／报价)* </w:t>
            </w:r>
            <w:r>
              <w:rPr>
                <w:rFonts w:hint="eastAsia" w:ascii="宋体" w:hAnsi="宋体" w:eastAsia="宋体" w:cs="宋体"/>
                <w:sz w:val="24"/>
                <w:szCs w:val="24"/>
                <w:lang w:val="en-US" w:eastAsia="zh-CN"/>
              </w:rPr>
              <w:t>10</w:t>
            </w:r>
            <w:r>
              <w:rPr>
                <w:rFonts w:hint="eastAsia" w:ascii="宋体" w:hAnsi="宋体" w:eastAsia="宋体" w:cs="宋体"/>
                <w:sz w:val="24"/>
                <w:szCs w:val="24"/>
              </w:rPr>
              <w:t>分</w:t>
            </w:r>
          </w:p>
        </w:tc>
        <w:tc>
          <w:tcPr>
            <w:tcW w:w="635"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2</w:t>
            </w:r>
          </w:p>
        </w:tc>
        <w:tc>
          <w:tcPr>
            <w:tcW w:w="619"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设计方案</w:t>
            </w:r>
          </w:p>
        </w:tc>
        <w:tc>
          <w:tcPr>
            <w:tcW w:w="540"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40</w:t>
            </w:r>
            <w:r>
              <w:rPr>
                <w:rFonts w:hint="eastAsia" w:ascii="宋体" w:hAnsi="宋体" w:eastAsia="宋体" w:cs="宋体"/>
                <w:sz w:val="24"/>
                <w:szCs w:val="24"/>
              </w:rPr>
              <w:t>分</w:t>
            </w:r>
          </w:p>
        </w:tc>
        <w:tc>
          <w:tcPr>
            <w:tcW w:w="2808"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1.投标人针对本项目制定设计方案，包括但不限于以下6项内容要素：①项目理解及分析（至少包含：项目设计重点、难点分析，以及对应的解决措施）、②设计团队各人员的简介及综合实力阐述、③满足招标文件以外的设计依据或规范或标准的整理、④设计工作台账建立、⑤设计工作进度计划及保障措施、⑥设计成果质量保障措施，在</w:t>
            </w:r>
            <w:r>
              <w:rPr>
                <w:rFonts w:hint="eastAsia" w:ascii="宋体" w:hAnsi="宋体" w:eastAsia="宋体" w:cs="宋体"/>
                <w:sz w:val="24"/>
                <w:szCs w:val="24"/>
                <w:lang w:val="en-US" w:eastAsia="zh-CN"/>
              </w:rPr>
              <w:t>24</w:t>
            </w:r>
            <w:r>
              <w:rPr>
                <w:rFonts w:hint="eastAsia" w:ascii="宋体" w:hAnsi="宋体" w:eastAsia="宋体" w:cs="宋体"/>
                <w:sz w:val="24"/>
                <w:szCs w:val="24"/>
              </w:rPr>
              <w:t>分的基础上，每有一项内容要素缺失或遗漏的扣</w:t>
            </w:r>
            <w:r>
              <w:rPr>
                <w:rFonts w:hint="eastAsia" w:ascii="宋体" w:hAnsi="宋体" w:eastAsia="宋体" w:cs="宋体"/>
                <w:sz w:val="24"/>
                <w:szCs w:val="24"/>
                <w:lang w:val="en-US" w:eastAsia="zh-CN"/>
              </w:rPr>
              <w:t>4</w:t>
            </w:r>
            <w:r>
              <w:rPr>
                <w:rFonts w:hint="eastAsia" w:ascii="宋体" w:hAnsi="宋体" w:eastAsia="宋体" w:cs="宋体"/>
                <w:sz w:val="24"/>
                <w:szCs w:val="24"/>
              </w:rPr>
              <w:t>分，每项内容要素中每存在一处缺陷的扣</w:t>
            </w:r>
            <w:r>
              <w:rPr>
                <w:rFonts w:hint="eastAsia" w:ascii="宋体" w:hAnsi="宋体" w:eastAsia="宋体" w:cs="宋体"/>
                <w:sz w:val="24"/>
                <w:szCs w:val="24"/>
                <w:lang w:val="en-US" w:eastAsia="zh-CN"/>
              </w:rPr>
              <w:t>2</w:t>
            </w:r>
            <w:r>
              <w:rPr>
                <w:rFonts w:hint="eastAsia" w:ascii="宋体" w:hAnsi="宋体" w:eastAsia="宋体" w:cs="宋体"/>
                <w:sz w:val="24"/>
                <w:szCs w:val="24"/>
              </w:rPr>
              <w:t>分，单项要素最多扣</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spacing w:line="360" w:lineRule="auto"/>
              <w:rPr>
                <w:rFonts w:hint="eastAsia" w:ascii="宋体" w:hAnsi="宋体" w:eastAsia="宋体" w:cs="宋体"/>
                <w:sz w:val="24"/>
                <w:szCs w:val="24"/>
              </w:rPr>
            </w:pPr>
            <w:r>
              <w:rPr>
                <w:rFonts w:hint="eastAsia" w:ascii="宋体" w:hAnsi="宋体" w:eastAsia="宋体" w:cs="宋体"/>
                <w:sz w:val="24"/>
                <w:szCs w:val="24"/>
              </w:rPr>
              <w:t>2.投标人针对本项目提供平面布局设计图</w:t>
            </w:r>
            <w:r>
              <w:rPr>
                <w:rFonts w:hint="eastAsia" w:ascii="宋体" w:hAnsi="宋体" w:eastAsia="宋体" w:cs="宋体"/>
                <w:sz w:val="24"/>
                <w:szCs w:val="24"/>
                <w:lang w:val="en-US" w:eastAsia="zh-CN"/>
              </w:rPr>
              <w:t>及实景效果图</w:t>
            </w:r>
            <w:r>
              <w:rPr>
                <w:rFonts w:hint="eastAsia" w:ascii="宋体" w:hAnsi="宋体" w:eastAsia="宋体" w:cs="宋体"/>
                <w:sz w:val="24"/>
                <w:szCs w:val="24"/>
              </w:rPr>
              <w:t>，评标委员会根据投标人提供图纸以下要素进行评审：①</w:t>
            </w:r>
            <w:r>
              <w:rPr>
                <w:rFonts w:hint="eastAsia" w:ascii="宋体" w:hAnsi="宋体" w:eastAsia="宋体" w:cs="宋体"/>
                <w:sz w:val="24"/>
                <w:szCs w:val="24"/>
                <w:lang w:val="en-US" w:eastAsia="zh-CN"/>
              </w:rPr>
              <w:t>设计的合理性；</w:t>
            </w:r>
            <w:r>
              <w:rPr>
                <w:rFonts w:hint="eastAsia" w:ascii="宋体" w:hAnsi="宋体" w:eastAsia="宋体" w:cs="宋体"/>
                <w:sz w:val="24"/>
                <w:szCs w:val="24"/>
              </w:rPr>
              <w:t>②</w:t>
            </w:r>
            <w:r>
              <w:rPr>
                <w:rFonts w:hint="eastAsia" w:ascii="宋体" w:hAnsi="宋体" w:eastAsia="宋体" w:cs="宋体"/>
                <w:sz w:val="24"/>
                <w:szCs w:val="24"/>
                <w:lang w:val="en-US" w:eastAsia="zh-CN"/>
              </w:rPr>
              <w:t>布局功能是否齐全；</w:t>
            </w:r>
            <w:r>
              <w:rPr>
                <w:rFonts w:hint="eastAsia" w:ascii="宋体" w:hAnsi="宋体" w:eastAsia="宋体" w:cs="宋体"/>
                <w:sz w:val="24"/>
                <w:szCs w:val="24"/>
              </w:rPr>
              <w:t>③</w:t>
            </w:r>
            <w:r>
              <w:rPr>
                <w:rFonts w:hint="eastAsia" w:ascii="宋体" w:hAnsi="宋体" w:eastAsia="宋体" w:cs="宋体"/>
                <w:sz w:val="24"/>
                <w:szCs w:val="24"/>
                <w:lang w:val="en-US" w:eastAsia="zh-CN"/>
              </w:rPr>
              <w:t>设计是否考虑医院元素；</w:t>
            </w:r>
            <w:r>
              <w:rPr>
                <w:rFonts w:hint="eastAsia" w:ascii="宋体" w:hAnsi="宋体" w:eastAsia="宋体" w:cs="宋体"/>
                <w:sz w:val="24"/>
                <w:szCs w:val="24"/>
              </w:rPr>
              <w:t>④</w:t>
            </w:r>
            <w:r>
              <w:rPr>
                <w:rFonts w:hint="eastAsia" w:ascii="宋体" w:hAnsi="宋体" w:eastAsia="宋体" w:cs="宋体"/>
                <w:sz w:val="24"/>
                <w:szCs w:val="24"/>
                <w:lang w:val="en-US" w:eastAsia="zh-CN"/>
              </w:rPr>
              <w:t>设计是否具备拓展性；</w:t>
            </w:r>
            <w:r>
              <w:rPr>
                <w:rFonts w:hint="eastAsia" w:ascii="宋体" w:hAnsi="宋体" w:eastAsia="宋体" w:cs="宋体"/>
                <w:sz w:val="24"/>
                <w:szCs w:val="24"/>
              </w:rPr>
              <w:t>在</w:t>
            </w:r>
            <w:r>
              <w:rPr>
                <w:rFonts w:hint="eastAsia" w:ascii="宋体" w:hAnsi="宋体" w:eastAsia="宋体" w:cs="宋体"/>
                <w:sz w:val="24"/>
                <w:szCs w:val="24"/>
                <w:lang w:val="en-US" w:eastAsia="zh-CN"/>
              </w:rPr>
              <w:t>16</w:t>
            </w:r>
            <w:r>
              <w:rPr>
                <w:rFonts w:hint="eastAsia" w:ascii="宋体" w:hAnsi="宋体" w:eastAsia="宋体" w:cs="宋体"/>
                <w:sz w:val="24"/>
                <w:szCs w:val="24"/>
              </w:rPr>
              <w:t>分的基础上，每有一项内容要素缺失或遗漏的扣</w:t>
            </w:r>
            <w:r>
              <w:rPr>
                <w:rFonts w:hint="eastAsia" w:ascii="宋体" w:hAnsi="宋体" w:eastAsia="宋体" w:cs="宋体"/>
                <w:sz w:val="24"/>
                <w:szCs w:val="24"/>
                <w:lang w:val="en-US" w:eastAsia="zh-CN"/>
              </w:rPr>
              <w:t>4</w:t>
            </w:r>
            <w:r>
              <w:rPr>
                <w:rFonts w:hint="eastAsia" w:ascii="宋体" w:hAnsi="宋体" w:eastAsia="宋体" w:cs="宋体"/>
                <w:sz w:val="24"/>
                <w:szCs w:val="24"/>
              </w:rPr>
              <w:t>分，每项内容要素中每存在一处缺陷的扣</w:t>
            </w:r>
            <w:r>
              <w:rPr>
                <w:rFonts w:hint="eastAsia" w:ascii="宋体" w:hAnsi="宋体" w:eastAsia="宋体" w:cs="宋体"/>
                <w:sz w:val="24"/>
                <w:szCs w:val="24"/>
                <w:lang w:val="en-US" w:eastAsia="zh-CN"/>
              </w:rPr>
              <w:t>2</w:t>
            </w:r>
            <w:r>
              <w:rPr>
                <w:rFonts w:hint="eastAsia" w:ascii="宋体" w:hAnsi="宋体" w:eastAsia="宋体" w:cs="宋体"/>
                <w:sz w:val="24"/>
                <w:szCs w:val="24"/>
              </w:rPr>
              <w:t>分，单项要素最多扣</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spacing w:line="360" w:lineRule="auto"/>
              <w:rPr>
                <w:rFonts w:hint="eastAsia" w:ascii="宋体" w:hAnsi="宋体" w:eastAsia="宋体" w:cs="宋体"/>
                <w:sz w:val="24"/>
                <w:szCs w:val="24"/>
              </w:rPr>
            </w:pPr>
            <w:r>
              <w:rPr>
                <w:rFonts w:hint="eastAsia" w:ascii="宋体" w:hAnsi="宋体" w:eastAsia="宋体" w:cs="宋体"/>
                <w:sz w:val="24"/>
                <w:szCs w:val="24"/>
              </w:rPr>
              <w:t>注：1.缺陷是指存在项目名称错误、地点区域错误、内容与本项目需求无关、方案内容矛盾或表述前后不一致、仅有框架或标题、适用的标准（方法）错误、明显复制其他项目内容等任意一种情形。</w:t>
            </w:r>
          </w:p>
          <w:p>
            <w:pPr>
              <w:spacing w:line="360" w:lineRule="auto"/>
              <w:rPr>
                <w:rFonts w:hint="eastAsia" w:ascii="宋体" w:hAnsi="宋体" w:eastAsia="宋体" w:cs="宋体"/>
                <w:sz w:val="24"/>
                <w:szCs w:val="24"/>
              </w:rPr>
            </w:pPr>
            <w:r>
              <w:rPr>
                <w:rFonts w:hint="eastAsia" w:ascii="宋体" w:hAnsi="宋体" w:eastAsia="宋体" w:cs="宋体"/>
                <w:sz w:val="24"/>
                <w:szCs w:val="24"/>
              </w:rPr>
              <w:t>2.平面布局图功能要求应尽量用图纸形式表达，确无法表达的，可用文字形式进行阐述。</w:t>
            </w:r>
          </w:p>
        </w:tc>
        <w:tc>
          <w:tcPr>
            <w:tcW w:w="635"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技术类评分因素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3</w:t>
            </w:r>
          </w:p>
        </w:tc>
        <w:tc>
          <w:tcPr>
            <w:tcW w:w="619"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施工方案</w:t>
            </w:r>
          </w:p>
        </w:tc>
        <w:tc>
          <w:tcPr>
            <w:tcW w:w="540"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28分</w:t>
            </w:r>
          </w:p>
        </w:tc>
        <w:tc>
          <w:tcPr>
            <w:tcW w:w="2808"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投标人针对本项目制定施工方案，包括但不限于以下7项内容要素：</w:t>
            </w:r>
          </w:p>
          <w:p>
            <w:pPr>
              <w:spacing w:line="360" w:lineRule="auto"/>
              <w:rPr>
                <w:rFonts w:hint="eastAsia" w:ascii="宋体" w:hAnsi="宋体" w:eastAsia="宋体" w:cs="宋体"/>
                <w:sz w:val="24"/>
                <w:szCs w:val="24"/>
              </w:rPr>
            </w:pPr>
            <w:r>
              <w:rPr>
                <w:rFonts w:hint="eastAsia" w:ascii="宋体" w:hAnsi="宋体" w:eastAsia="宋体" w:cs="宋体"/>
                <w:sz w:val="24"/>
                <w:szCs w:val="24"/>
              </w:rPr>
              <w:t>1.进度计划：根据供应商针对本项目提供的项目进度计划与措施，包括但不限于①项目进度计划(含计划开、竣工日期和施工进度网络图)、②项目工期保证措施、③劳动力配备及管理措施、④施工进度动态管理机制；</w:t>
            </w:r>
          </w:p>
          <w:p>
            <w:pPr>
              <w:spacing w:line="360" w:lineRule="auto"/>
              <w:rPr>
                <w:rFonts w:hint="eastAsia" w:ascii="宋体" w:hAnsi="宋体" w:eastAsia="宋体" w:cs="宋体"/>
                <w:sz w:val="24"/>
                <w:szCs w:val="24"/>
              </w:rPr>
            </w:pPr>
            <w:r>
              <w:rPr>
                <w:rFonts w:hint="eastAsia" w:ascii="宋体" w:hAnsi="宋体" w:eastAsia="宋体" w:cs="宋体"/>
                <w:sz w:val="24"/>
                <w:szCs w:val="24"/>
              </w:rPr>
              <w:t>2.质量保证措施：根据供应商针对本项目提供的质量保证措施，包括但不限于①制定完整的质量保证体系、②确保项目质量的技术组织措施、③针对质量目标及质量控制的保证措施、④制定质量管理制度及检查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3.安全保证措施:根据供应商针对本项目提供的安全保证措施，包括但不限于①制定文明施工安全保障体系、②制定文明施工措施、③安全教育及培训计划、④安全保证措施及安全应急预案；</w:t>
            </w:r>
          </w:p>
          <w:p>
            <w:pPr>
              <w:spacing w:line="360" w:lineRule="auto"/>
              <w:rPr>
                <w:rFonts w:hint="eastAsia" w:ascii="宋体" w:hAnsi="宋体" w:eastAsia="宋体" w:cs="宋体"/>
                <w:sz w:val="24"/>
                <w:szCs w:val="24"/>
              </w:rPr>
            </w:pPr>
            <w:r>
              <w:rPr>
                <w:rFonts w:hint="eastAsia" w:ascii="宋体" w:hAnsi="宋体" w:eastAsia="宋体" w:cs="宋体"/>
                <w:sz w:val="24"/>
                <w:szCs w:val="24"/>
              </w:rPr>
              <w:t>4.资源配置计划：根据供应商针对本项目提供的资源配置计划包括但不限于①项目实际施工需求分析、②根据项目需求制定的设备配置计划、③根据项目需求制定的物料配置计划、④根据项目需求制定的人力配置计划；</w:t>
            </w:r>
          </w:p>
          <w:p>
            <w:pPr>
              <w:spacing w:line="360" w:lineRule="auto"/>
              <w:rPr>
                <w:rFonts w:hint="eastAsia" w:ascii="宋体" w:hAnsi="宋体" w:eastAsia="宋体" w:cs="宋体"/>
                <w:sz w:val="24"/>
                <w:szCs w:val="24"/>
              </w:rPr>
            </w:pPr>
            <w:r>
              <w:rPr>
                <w:rFonts w:hint="eastAsia" w:ascii="宋体" w:hAnsi="宋体" w:eastAsia="宋体" w:cs="宋体"/>
                <w:sz w:val="24"/>
                <w:szCs w:val="24"/>
              </w:rPr>
              <w:t>5.环保文明措施：根据供应商针对本项目提供的环境文明措施，包括但不限于①制定完整的环境保护管理体系、②制定完整的 环境卫生保护措施、③污染物处理及排放措施、④现场管理人员环境保护职责及操作流程要求；</w:t>
            </w:r>
          </w:p>
          <w:p>
            <w:pPr>
              <w:spacing w:line="360" w:lineRule="auto"/>
              <w:rPr>
                <w:rFonts w:hint="eastAsia" w:ascii="宋体" w:hAnsi="宋体" w:eastAsia="宋体" w:cs="宋体"/>
                <w:sz w:val="24"/>
                <w:szCs w:val="24"/>
              </w:rPr>
            </w:pPr>
            <w:r>
              <w:rPr>
                <w:rFonts w:hint="eastAsia" w:ascii="宋体" w:hAnsi="宋体" w:eastAsia="宋体" w:cs="宋体"/>
                <w:sz w:val="24"/>
                <w:szCs w:val="24"/>
              </w:rPr>
              <w:t>6.应急预案：根据供应商针对本项目提供的应急预案包括但不限于①项目实施过程风险因素分析、②施工过程常见风险因素应急预案、③针对本项目实施过程实际情况可能发生的应急预案、④施工舆情防控应急预案；</w:t>
            </w:r>
          </w:p>
          <w:p>
            <w:pPr>
              <w:spacing w:line="360" w:lineRule="auto"/>
              <w:rPr>
                <w:rFonts w:hint="eastAsia" w:ascii="宋体" w:hAnsi="宋体" w:eastAsia="宋体" w:cs="宋体"/>
                <w:sz w:val="24"/>
                <w:szCs w:val="24"/>
              </w:rPr>
            </w:pPr>
            <w:r>
              <w:rPr>
                <w:rFonts w:hint="eastAsia" w:ascii="宋体" w:hAnsi="宋体" w:eastAsia="宋体" w:cs="宋体"/>
                <w:sz w:val="24"/>
                <w:szCs w:val="24"/>
              </w:rPr>
              <w:t>7.施工工艺内容：根据供应商针对本项目提供的施工工艺内容括但不限于①施工总平面布置保障、②施工作业顺序、③分部分项施工技术措施、④施工场地水电布置保障。</w:t>
            </w:r>
          </w:p>
          <w:p>
            <w:pPr>
              <w:spacing w:line="360" w:lineRule="auto"/>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lang w:val="en-US" w:eastAsia="zh-CN"/>
              </w:rPr>
              <w:t>28</w:t>
            </w:r>
            <w:r>
              <w:rPr>
                <w:rFonts w:hint="eastAsia" w:ascii="宋体" w:hAnsi="宋体" w:eastAsia="宋体" w:cs="宋体"/>
                <w:sz w:val="24"/>
                <w:szCs w:val="24"/>
              </w:rPr>
              <w:t>分的基础上，每有一项内容要素缺失或遗漏的扣1分，每项内容要素中每存在一处缺陷的扣0.5分，单项要素最多扣1分。</w:t>
            </w:r>
          </w:p>
          <w:p>
            <w:pPr>
              <w:spacing w:line="360" w:lineRule="auto"/>
              <w:rPr>
                <w:rFonts w:hint="eastAsia" w:ascii="宋体" w:hAnsi="宋体" w:eastAsia="宋体" w:cs="宋体"/>
                <w:sz w:val="24"/>
                <w:szCs w:val="24"/>
              </w:rPr>
            </w:pPr>
            <w:r>
              <w:rPr>
                <w:rFonts w:hint="eastAsia" w:ascii="宋体" w:hAnsi="宋体" w:eastAsia="宋体" w:cs="宋体"/>
                <w:sz w:val="24"/>
                <w:szCs w:val="24"/>
              </w:rPr>
              <w:t>注：缺陷是指存在项目名称错误、地点区域错误、内容与本项目需求无关、方案内容矛盾或表述前后不一致、仅有框架或标题、适用的标准（方法）错误、明显复制其他项目内容等任意一种情形。</w:t>
            </w:r>
          </w:p>
        </w:tc>
        <w:tc>
          <w:tcPr>
            <w:tcW w:w="635"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技术类评分因素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4</w:t>
            </w:r>
          </w:p>
        </w:tc>
        <w:tc>
          <w:tcPr>
            <w:tcW w:w="619"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人员配置</w:t>
            </w:r>
          </w:p>
        </w:tc>
        <w:tc>
          <w:tcPr>
            <w:tcW w:w="540"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分</w:t>
            </w:r>
          </w:p>
        </w:tc>
        <w:tc>
          <w:tcPr>
            <w:tcW w:w="2808"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（一）设计人员： </w:t>
            </w:r>
          </w:p>
          <w:p>
            <w:pPr>
              <w:spacing w:line="360" w:lineRule="auto"/>
              <w:rPr>
                <w:rFonts w:hint="eastAsia" w:ascii="宋体" w:hAnsi="宋体" w:eastAsia="宋体" w:cs="宋体"/>
                <w:sz w:val="24"/>
                <w:szCs w:val="24"/>
              </w:rPr>
            </w:pPr>
            <w:r>
              <w:rPr>
                <w:rFonts w:hint="eastAsia" w:ascii="宋体" w:hAnsi="宋体" w:eastAsia="宋体" w:cs="宋体"/>
                <w:sz w:val="24"/>
                <w:szCs w:val="24"/>
              </w:rPr>
              <w:t>1.设计总负责人：具有建筑设计类相关专业高级及以上技术职称得2分。</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.电气专业设计负责人：具有电气设计类相关专业中级及以上技术职称得1分；</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（二）施工人员： </w:t>
            </w:r>
          </w:p>
          <w:p>
            <w:pPr>
              <w:spacing w:line="360" w:lineRule="auto"/>
              <w:rPr>
                <w:rFonts w:hint="eastAsia" w:ascii="宋体" w:hAnsi="宋体" w:eastAsia="宋体" w:cs="宋体"/>
                <w:sz w:val="24"/>
                <w:szCs w:val="24"/>
              </w:rPr>
            </w:pPr>
            <w:r>
              <w:rPr>
                <w:rFonts w:hint="eastAsia" w:ascii="宋体" w:hAnsi="宋体" w:eastAsia="宋体" w:cs="宋体"/>
                <w:sz w:val="24"/>
                <w:szCs w:val="24"/>
              </w:rPr>
              <w:t>1.项目总负责人（即本项目施工负责人）：具有建筑类相关专业高级及以上技术职称得2分。</w:t>
            </w:r>
          </w:p>
          <w:p>
            <w:pPr>
              <w:spacing w:line="360" w:lineRule="auto"/>
              <w:rPr>
                <w:rFonts w:hint="eastAsia" w:ascii="宋体" w:hAnsi="宋体" w:eastAsia="宋体" w:cs="宋体"/>
                <w:sz w:val="24"/>
                <w:szCs w:val="24"/>
              </w:rPr>
            </w:pPr>
            <w:r>
              <w:rPr>
                <w:rFonts w:hint="eastAsia" w:ascii="宋体" w:hAnsi="宋体" w:eastAsia="宋体" w:cs="宋体"/>
                <w:sz w:val="24"/>
                <w:szCs w:val="24"/>
              </w:rPr>
              <w:t>2.施工技术负责人：具有建筑类相关专业中级及以上技术职称得1分。</w:t>
            </w:r>
          </w:p>
          <w:p>
            <w:pPr>
              <w:spacing w:line="360" w:lineRule="auto"/>
              <w:rPr>
                <w:rFonts w:hint="eastAsia" w:ascii="宋体" w:hAnsi="宋体" w:eastAsia="宋体" w:cs="宋体"/>
                <w:sz w:val="24"/>
                <w:szCs w:val="24"/>
              </w:rPr>
            </w:pPr>
            <w:r>
              <w:rPr>
                <w:rFonts w:hint="eastAsia" w:ascii="宋体" w:hAnsi="宋体" w:eastAsia="宋体" w:cs="宋体"/>
                <w:sz w:val="24"/>
                <w:szCs w:val="24"/>
              </w:rPr>
              <w:t>注：提供以上人员有效的证书复印件、投标人单位出具的在职证明或者劳动合同复印件予以佐证，否则不予认定。</w:t>
            </w:r>
          </w:p>
        </w:tc>
        <w:tc>
          <w:tcPr>
            <w:tcW w:w="635"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共同评分因素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 w:type="pct"/>
            <w:vAlign w:val="center"/>
          </w:tcPr>
          <w:p>
            <w:pPr>
              <w:spacing w:line="360" w:lineRule="auto"/>
              <w:ind w:firstLine="28"/>
              <w:jc w:val="center"/>
              <w:rPr>
                <w:rFonts w:hint="eastAsia" w:ascii="宋体" w:hAnsi="宋体" w:eastAsia="宋体" w:cs="宋体"/>
                <w:sz w:val="24"/>
                <w:szCs w:val="24"/>
              </w:rPr>
            </w:pPr>
            <w:r>
              <w:rPr>
                <w:rFonts w:hint="eastAsia" w:ascii="宋体" w:hAnsi="宋体" w:eastAsia="宋体" w:cs="宋体"/>
                <w:sz w:val="24"/>
                <w:szCs w:val="24"/>
              </w:rPr>
              <w:t>5</w:t>
            </w:r>
          </w:p>
        </w:tc>
        <w:tc>
          <w:tcPr>
            <w:tcW w:w="619"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业绩</w:t>
            </w:r>
          </w:p>
        </w:tc>
        <w:tc>
          <w:tcPr>
            <w:tcW w:w="540"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分</w:t>
            </w:r>
          </w:p>
        </w:tc>
        <w:tc>
          <w:tcPr>
            <w:tcW w:w="2808"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评标委员会根据投标人提供业绩（2020年1月1日-至递交投标文件截止日）进行评定，每提供</w:t>
            </w:r>
            <w:r>
              <w:rPr>
                <w:rFonts w:hint="eastAsia" w:ascii="宋体" w:hAnsi="宋体" w:eastAsia="宋体" w:cs="宋体"/>
                <w:sz w:val="24"/>
                <w:szCs w:val="24"/>
                <w:lang w:val="en-US" w:eastAsia="zh-CN"/>
              </w:rPr>
              <w:t>类似</w:t>
            </w:r>
            <w:r>
              <w:rPr>
                <w:rFonts w:hint="eastAsia" w:ascii="宋体" w:hAnsi="宋体" w:eastAsia="宋体" w:cs="宋体"/>
                <w:sz w:val="24"/>
                <w:szCs w:val="24"/>
              </w:rPr>
              <w:t>业绩得2分，最多1</w:t>
            </w:r>
            <w:r>
              <w:rPr>
                <w:rFonts w:hint="eastAsia" w:ascii="宋体" w:hAnsi="宋体" w:eastAsia="宋体" w:cs="宋体"/>
                <w:sz w:val="24"/>
                <w:szCs w:val="24"/>
                <w:lang w:val="en-US" w:eastAsia="zh-CN"/>
              </w:rPr>
              <w:t>6</w:t>
            </w:r>
            <w:r>
              <w:rPr>
                <w:rFonts w:hint="eastAsia" w:ascii="宋体" w:hAnsi="宋体" w:eastAsia="宋体" w:cs="宋体"/>
                <w:sz w:val="24"/>
                <w:szCs w:val="24"/>
              </w:rPr>
              <w:t>分；注：①提供合同复印件以及验收报告予以佐证，否则不予认定。</w:t>
            </w:r>
          </w:p>
          <w:p>
            <w:pPr>
              <w:spacing w:line="360" w:lineRule="auto"/>
              <w:rPr>
                <w:rFonts w:hint="eastAsia" w:ascii="宋体" w:hAnsi="宋体" w:eastAsia="宋体" w:cs="宋体"/>
                <w:sz w:val="24"/>
                <w:szCs w:val="24"/>
              </w:rPr>
            </w:pPr>
            <w:r>
              <w:rPr>
                <w:rFonts w:hint="eastAsia" w:ascii="宋体" w:hAnsi="宋体" w:eastAsia="宋体" w:cs="宋体"/>
                <w:sz w:val="24"/>
                <w:szCs w:val="24"/>
              </w:rPr>
              <w:t>②时间的认定以合同签订的时间为准，合同签订的时间在2020年1月1日（不含）之前的不予认定。</w:t>
            </w:r>
          </w:p>
        </w:tc>
        <w:tc>
          <w:tcPr>
            <w:tcW w:w="635" w:type="pct"/>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共同评分因素</w:t>
            </w:r>
          </w:p>
        </w:tc>
      </w:tr>
    </w:tbl>
    <w:p>
      <w:pPr>
        <w:adjustRightInd w:val="0"/>
        <w:snapToGrid w:val="0"/>
        <w:spacing w:line="360" w:lineRule="auto"/>
        <w:ind w:firstLine="200"/>
        <w:rPr>
          <w:rFonts w:hint="eastAsia" w:ascii="宋体" w:hAnsi="宋体" w:eastAsia="宋体" w:cs="宋体"/>
          <w:sz w:val="24"/>
          <w:szCs w:val="24"/>
          <w:lang w:val="en-US" w:eastAsia="zh-CN"/>
        </w:rPr>
      </w:pPr>
    </w:p>
    <w:p>
      <w:pPr>
        <w:pStyle w:val="12"/>
        <w:keepNext w:val="0"/>
        <w:keepLines w:val="0"/>
        <w:pageBreakBefore w:val="0"/>
        <w:kinsoku/>
        <w:wordWrap/>
        <w:overflowPunct/>
        <w:topLinePunct w:val="0"/>
        <w:bidi w:val="0"/>
        <w:spacing w:beforeAutospacing="0" w:line="360" w:lineRule="auto"/>
        <w:jc w:val="center"/>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keepNext w:val="0"/>
        <w:keepLines w:val="0"/>
        <w:pageBreakBefore w:val="0"/>
        <w:tabs>
          <w:tab w:val="left" w:pos="264"/>
        </w:tabs>
        <w:kinsoku/>
        <w:wordWrap/>
        <w:overflowPunct/>
        <w:topLinePunct w:val="0"/>
        <w:autoSpaceDE/>
        <w:autoSpaceDN/>
        <w:bidi w:val="0"/>
        <w:adjustRightInd/>
        <w:spacing w:beforeAutospacing="0" w:afterAutospacing="0" w:line="360" w:lineRule="auto"/>
        <w:jc w:val="left"/>
        <w:rPr>
          <w:rFonts w:hint="eastAsia" w:ascii="宋体" w:hAnsi="宋体" w:eastAsia="宋体" w:cs="宋体"/>
          <w:color w:val="auto"/>
          <w:sz w:val="24"/>
          <w:szCs w:val="24"/>
          <w:highlight w:val="none"/>
          <w:lang w:val="en-US" w:eastAsia="zh-CN"/>
        </w:rPr>
        <w:sectPr>
          <w:pgSz w:w="11906" w:h="16838"/>
          <w:pgMar w:top="1134" w:right="1417" w:bottom="1134" w:left="1417" w:header="851" w:footer="992" w:gutter="0"/>
          <w:cols w:space="720" w:num="1"/>
        </w:sect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小计（元）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7"/>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7"/>
        <w:rPr>
          <w:rFonts w:hint="eastAsia" w:ascii="宋体" w:hAnsi="宋体" w:eastAsia="宋体" w:cs="宋体"/>
          <w:sz w:val="24"/>
          <w:szCs w:val="24"/>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3"/>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3"/>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3"/>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3"/>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3"/>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3"/>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3"/>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9"/>
        <w:keepNext w:val="0"/>
        <w:keepLines w:val="0"/>
        <w:pageBreakBefore w:val="0"/>
        <w:widowControl/>
        <w:suppressLineNumbers w:val="0"/>
        <w:kinsoku/>
        <w:overflowPunct/>
        <w:bidi w:val="0"/>
        <w:adjustRightInd/>
        <w:spacing w:line="360" w:lineRule="auto"/>
        <w:rPr>
          <w:rFonts w:hint="eastAsia" w:ascii="宋体" w:hAnsi="宋体" w:eastAsia="宋体" w:cs="宋体"/>
          <w:sz w:val="24"/>
          <w:szCs w:val="24"/>
        </w:rPr>
      </w:pPr>
      <w:r>
        <w:rPr>
          <w:rFonts w:hint="eastAsia" w:ascii="宋体" w:hAnsi="宋体" w:eastAsia="宋体" w:cs="宋体"/>
          <w:b/>
          <w:sz w:val="24"/>
          <w:szCs w:val="24"/>
        </w:rPr>
        <w:t>技术、服务响应/偏离表 </w:t>
      </w:r>
    </w:p>
    <w:p>
      <w:pPr>
        <w:pStyle w:val="9"/>
        <w:keepNext w:val="0"/>
        <w:keepLines w:val="0"/>
        <w:pageBreakBefore w:val="0"/>
        <w:widowControl/>
        <w:suppressLineNumbers w:val="0"/>
        <w:kinsoku/>
        <w:overflowPunct/>
        <w:bidi w:val="0"/>
        <w:adjustRightInd/>
        <w:spacing w:after="120" w:afterAutospacing="0" w:line="360" w:lineRule="auto"/>
        <w:rPr>
          <w:rFonts w:hint="eastAsia" w:ascii="宋体" w:hAnsi="宋体" w:eastAsia="宋体" w:cs="宋体"/>
          <w:b/>
          <w:sz w:val="24"/>
          <w:szCs w:val="24"/>
          <w:u w:val="single"/>
        </w:rPr>
      </w:pPr>
      <w:r>
        <w:rPr>
          <w:rFonts w:hint="eastAsia" w:ascii="宋体" w:hAnsi="宋体" w:eastAsia="宋体" w:cs="宋体"/>
          <w:b/>
          <w:sz w:val="24"/>
          <w:szCs w:val="24"/>
        </w:rPr>
        <w:t>供应商名称：</w:t>
      </w:r>
      <w:r>
        <w:rPr>
          <w:rFonts w:hint="eastAsia" w:ascii="宋体" w:hAnsi="宋体" w:eastAsia="宋体" w:cs="宋体"/>
          <w:b/>
          <w:sz w:val="24"/>
          <w:szCs w:val="24"/>
          <w:u w:val="single"/>
        </w:rPr>
        <w:t>             </w:t>
      </w:r>
    </w:p>
    <w:p>
      <w:pPr>
        <w:pStyle w:val="9"/>
        <w:keepNext w:val="0"/>
        <w:keepLines w:val="0"/>
        <w:pageBreakBefore w:val="0"/>
        <w:widowControl/>
        <w:suppressLineNumbers w:val="0"/>
        <w:kinsoku/>
        <w:overflowPunct/>
        <w:bidi w:val="0"/>
        <w:adjustRightInd/>
        <w:spacing w:after="120" w:afterAutospacing="0" w:line="360" w:lineRule="auto"/>
        <w:rPr>
          <w:rFonts w:hint="eastAsia" w:ascii="宋体" w:hAnsi="宋体" w:eastAsia="宋体" w:cs="宋体"/>
          <w:sz w:val="24"/>
          <w:szCs w:val="24"/>
        </w:rPr>
      </w:pPr>
      <w:r>
        <w:rPr>
          <w:rFonts w:hint="eastAsia" w:ascii="宋体" w:hAnsi="宋体" w:eastAsia="宋体" w:cs="宋体"/>
          <w:b/>
          <w:sz w:val="24"/>
          <w:szCs w:val="24"/>
        </w:rPr>
        <w:t>采购编号：</w:t>
      </w:r>
      <w:r>
        <w:rPr>
          <w:rFonts w:hint="eastAsia" w:ascii="宋体" w:hAnsi="宋体" w:eastAsia="宋体" w:cs="宋体"/>
          <w:b/>
          <w:sz w:val="24"/>
          <w:szCs w:val="24"/>
          <w:u w:val="single"/>
        </w:rPr>
        <w:t>             </w:t>
      </w:r>
      <w:r>
        <w:rPr>
          <w:rFonts w:hint="eastAsia" w:ascii="宋体" w:hAnsi="宋体" w:eastAsia="宋体" w:cs="宋体"/>
          <w:b/>
          <w:sz w:val="24"/>
          <w:szCs w:val="24"/>
        </w:rPr>
        <w:t> </w:t>
      </w:r>
    </w:p>
    <w:tbl>
      <w:tblPr>
        <w:tblStyle w:val="10"/>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9"/>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9"/>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9"/>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9"/>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采购</w:t>
            </w:r>
            <w:r>
              <w:rPr>
                <w:rFonts w:hint="eastAsia" w:ascii="宋体" w:hAnsi="宋体" w:eastAsia="宋体" w:cs="宋体"/>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9"/>
              <w:keepNext w:val="0"/>
              <w:keepLines w:val="0"/>
              <w:pageBreakBefore w:val="0"/>
              <w:widowControl/>
              <w:suppressLineNumbers w:val="0"/>
              <w:kinsoku/>
              <w:overflowPunct/>
              <w:bidi w:val="0"/>
              <w:adjustRightInd/>
              <w:spacing w:before="60" w:beforeAutospacing="0" w:after="60" w:afterAutospacing="0" w:line="360" w:lineRule="auto"/>
              <w:jc w:val="center"/>
              <w:rPr>
                <w:rFonts w:hint="eastAsia" w:ascii="宋体" w:hAnsi="宋体" w:eastAsia="宋体" w:cs="宋体"/>
                <w:sz w:val="24"/>
                <w:szCs w:val="24"/>
              </w:rPr>
            </w:pPr>
            <w:r>
              <w:rPr>
                <w:rFonts w:hint="eastAsia" w:ascii="宋体" w:hAnsi="宋体" w:eastAsia="宋体" w:cs="宋体"/>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9"/>
              <w:keepNext w:val="0"/>
              <w:keepLines w:val="0"/>
              <w:pageBreakBefore w:val="0"/>
              <w:widowControl/>
              <w:suppressLineNumbers w:val="0"/>
              <w:kinsoku/>
              <w:overflowPunct/>
              <w:bidi w:val="0"/>
              <w:adjustRightInd/>
              <w:spacing w:before="120" w:beforeAutospacing="0" w:after="120" w:afterAutospacing="0" w:line="360" w:lineRule="auto"/>
              <w:rPr>
                <w:rFonts w:hint="eastAsia" w:ascii="宋体" w:hAnsi="宋体" w:eastAsia="宋体" w:cs="宋体"/>
                <w:sz w:val="24"/>
                <w:szCs w:val="24"/>
              </w:rPr>
            </w:pPr>
            <w:r>
              <w:rPr>
                <w:rFonts w:hint="eastAsia" w:ascii="宋体" w:hAnsi="宋体" w:eastAsia="宋体" w:cs="宋体"/>
                <w:sz w:val="24"/>
                <w:szCs w:val="24"/>
              </w:rPr>
              <w:t> </w:t>
            </w:r>
          </w:p>
        </w:tc>
      </w:tr>
    </w:tbl>
    <w:p>
      <w:pPr>
        <w:pStyle w:val="9"/>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供应商名称：         （盖章）</w:t>
      </w:r>
    </w:p>
    <w:p>
      <w:pPr>
        <w:pStyle w:val="9"/>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pStyle w:val="9"/>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日期:</w:t>
      </w:r>
    </w:p>
    <w:p>
      <w:pPr>
        <w:pStyle w:val="9"/>
        <w:keepNext w:val="0"/>
        <w:keepLines w:val="0"/>
        <w:pageBreakBefore w:val="0"/>
        <w:widowControl/>
        <w:suppressLineNumbers w:val="0"/>
        <w:kinsoku/>
        <w:overflowPunct/>
        <w:bidi w:val="0"/>
        <w:adjustRightInd/>
        <w:spacing w:line="360" w:lineRule="auto"/>
        <w:ind w:left="0" w:firstLine="420"/>
        <w:rPr>
          <w:rFonts w:hint="eastAsia" w:ascii="宋体" w:hAnsi="宋体" w:eastAsia="宋体" w:cs="宋体"/>
          <w:sz w:val="24"/>
          <w:szCs w:val="24"/>
        </w:rPr>
      </w:pPr>
      <w:r>
        <w:rPr>
          <w:rFonts w:hint="eastAsia" w:ascii="宋体" w:hAnsi="宋体" w:eastAsia="宋体" w:cs="宋体"/>
          <w:sz w:val="24"/>
          <w:szCs w:val="24"/>
        </w:rPr>
        <w:t>注：</w:t>
      </w:r>
    </w:p>
    <w:p>
      <w:pPr>
        <w:pStyle w:val="9"/>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供应商必须据实填写，不得虚假应答，否则将取消其报价或成交资格。如与磋商文件所列技术相关条款无偏离（包括正偏离和负偏离），则无须逐条应答。如有偏离条款，请将偏离条款逐条应答。未明确偏离的条款，视为默认接受，供应商不得籍未作应答而拒不接受。</w:t>
      </w:r>
    </w:p>
    <w:p>
      <w:pPr>
        <w:pStyle w:val="9"/>
        <w:keepNext w:val="0"/>
        <w:keepLines w:val="0"/>
        <w:pageBreakBefore w:val="0"/>
        <w:widowControl/>
        <w:suppressLineNumbers w:val="0"/>
        <w:kinsoku/>
        <w:overflowPunct/>
        <w:bidi w:val="0"/>
        <w:adjustRightInd/>
        <w:spacing w:line="360" w:lineRule="auto"/>
        <w:ind w:left="0" w:firstLine="480"/>
        <w:rPr>
          <w:rFonts w:hint="eastAsia" w:ascii="宋体" w:hAnsi="宋体" w:eastAsia="宋体" w:cs="宋体"/>
          <w:sz w:val="24"/>
          <w:szCs w:val="24"/>
        </w:rPr>
      </w:pPr>
      <w:r>
        <w:rPr>
          <w:rFonts w:hint="eastAsia" w:ascii="宋体" w:hAnsi="宋体" w:eastAsia="宋体" w:cs="宋体"/>
          <w:sz w:val="24"/>
          <w:szCs w:val="24"/>
        </w:rPr>
        <w:t>若磋商文件中有要求提供证明材料的技术条款应当在此表中列出并应答。</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13"/>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3"/>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4"/>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1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3"/>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3"/>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4"/>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BE70B"/>
    <w:multiLevelType w:val="singleLevel"/>
    <w:tmpl w:val="9B4BE70B"/>
    <w:lvl w:ilvl="0" w:tentative="0">
      <w:start w:val="1"/>
      <w:numFmt w:val="decimal"/>
      <w:lvlText w:val="%1."/>
      <w:lvlJc w:val="left"/>
      <w:pPr>
        <w:ind w:left="425" w:hanging="425"/>
      </w:pPr>
      <w:rPr>
        <w:rFonts w:hint="default"/>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E66A6062"/>
    <w:multiLevelType w:val="singleLevel"/>
    <w:tmpl w:val="E66A6062"/>
    <w:lvl w:ilvl="0" w:tentative="0">
      <w:start w:val="1"/>
      <w:numFmt w:val="decimal"/>
      <w:lvlText w:val="%1."/>
      <w:lvlJc w:val="left"/>
      <w:pPr>
        <w:tabs>
          <w:tab w:val="left" w:pos="312"/>
        </w:tabs>
      </w:p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984987"/>
    <w:rsid w:val="01582E9F"/>
    <w:rsid w:val="022561DB"/>
    <w:rsid w:val="024B5F91"/>
    <w:rsid w:val="02E53A75"/>
    <w:rsid w:val="0423435A"/>
    <w:rsid w:val="04C176DC"/>
    <w:rsid w:val="05CD03BE"/>
    <w:rsid w:val="07AF5FEE"/>
    <w:rsid w:val="0A277760"/>
    <w:rsid w:val="0ACF324E"/>
    <w:rsid w:val="0B565E48"/>
    <w:rsid w:val="0CE1020E"/>
    <w:rsid w:val="0D272843"/>
    <w:rsid w:val="0F4628CF"/>
    <w:rsid w:val="0F71729A"/>
    <w:rsid w:val="0F914A2F"/>
    <w:rsid w:val="0FD4292A"/>
    <w:rsid w:val="10863CAA"/>
    <w:rsid w:val="109819C6"/>
    <w:rsid w:val="12BB52A2"/>
    <w:rsid w:val="13E76168"/>
    <w:rsid w:val="16795C6E"/>
    <w:rsid w:val="177F6166"/>
    <w:rsid w:val="192B394B"/>
    <w:rsid w:val="1A8B0593"/>
    <w:rsid w:val="1C151423"/>
    <w:rsid w:val="1C962C76"/>
    <w:rsid w:val="1D7D134A"/>
    <w:rsid w:val="1E9514A0"/>
    <w:rsid w:val="1FD72787"/>
    <w:rsid w:val="20AF2A2B"/>
    <w:rsid w:val="2161289E"/>
    <w:rsid w:val="231A50A3"/>
    <w:rsid w:val="2487307B"/>
    <w:rsid w:val="25101CDA"/>
    <w:rsid w:val="2559103D"/>
    <w:rsid w:val="25685003"/>
    <w:rsid w:val="25C97BEE"/>
    <w:rsid w:val="26E41B28"/>
    <w:rsid w:val="281955CF"/>
    <w:rsid w:val="2A044599"/>
    <w:rsid w:val="2A0F7B8F"/>
    <w:rsid w:val="2B05240B"/>
    <w:rsid w:val="2BF4266B"/>
    <w:rsid w:val="2CF3776A"/>
    <w:rsid w:val="2D611200"/>
    <w:rsid w:val="2D7F4851"/>
    <w:rsid w:val="31650772"/>
    <w:rsid w:val="31E9143D"/>
    <w:rsid w:val="34BE33D7"/>
    <w:rsid w:val="361A126B"/>
    <w:rsid w:val="36545D30"/>
    <w:rsid w:val="36BF0CFE"/>
    <w:rsid w:val="37671CCB"/>
    <w:rsid w:val="3BDD1C9A"/>
    <w:rsid w:val="3C6234CA"/>
    <w:rsid w:val="3D5123A5"/>
    <w:rsid w:val="3E3C3D7F"/>
    <w:rsid w:val="3F0F3FAB"/>
    <w:rsid w:val="3FBC281F"/>
    <w:rsid w:val="43E06BC0"/>
    <w:rsid w:val="4AF20173"/>
    <w:rsid w:val="4B0C6E2E"/>
    <w:rsid w:val="4BAE772A"/>
    <w:rsid w:val="4C4A7B3B"/>
    <w:rsid w:val="4C8B4D21"/>
    <w:rsid w:val="4CEA1A71"/>
    <w:rsid w:val="4DC3281F"/>
    <w:rsid w:val="518B59E0"/>
    <w:rsid w:val="5244176A"/>
    <w:rsid w:val="54F21968"/>
    <w:rsid w:val="550310E3"/>
    <w:rsid w:val="574F6249"/>
    <w:rsid w:val="58071A1F"/>
    <w:rsid w:val="599B1691"/>
    <w:rsid w:val="606964BC"/>
    <w:rsid w:val="616E24E6"/>
    <w:rsid w:val="63545F00"/>
    <w:rsid w:val="6841159B"/>
    <w:rsid w:val="68822004"/>
    <w:rsid w:val="6B405AFC"/>
    <w:rsid w:val="6F7F20D5"/>
    <w:rsid w:val="71D8190B"/>
    <w:rsid w:val="72F06D27"/>
    <w:rsid w:val="739065EB"/>
    <w:rsid w:val="73F26EC8"/>
    <w:rsid w:val="74410750"/>
    <w:rsid w:val="76880984"/>
    <w:rsid w:val="78A07BDA"/>
    <w:rsid w:val="78B64B97"/>
    <w:rsid w:val="7B5209E2"/>
    <w:rsid w:val="7BA577E9"/>
    <w:rsid w:val="7C6543A4"/>
    <w:rsid w:val="7D1A2BCE"/>
    <w:rsid w:val="7E345685"/>
    <w:rsid w:val="7E6D0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style>
  <w:style w:type="paragraph" w:styleId="4">
    <w:name w:val="Body Text First Indent 2"/>
    <w:basedOn w:val="5"/>
    <w:qFormat/>
    <w:uiPriority w:val="0"/>
    <w:pPr>
      <w:ind w:firstLine="420"/>
    </w:pPr>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GW-正文"/>
    <w:basedOn w:val="1"/>
    <w:qFormat/>
    <w:uiPriority w:val="0"/>
    <w:pPr>
      <w:spacing w:line="360" w:lineRule="auto"/>
      <w:ind w:firstLine="200" w:firstLineChars="200"/>
    </w:pPr>
    <w:rPr>
      <w:rFonts w:eastAsia="仿宋_GB2312"/>
      <w:sz w:val="24"/>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3"/>
    <w:basedOn w:val="1"/>
    <w:qFormat/>
    <w:uiPriority w:val="0"/>
    <w:pPr>
      <w:ind w:firstLine="420" w:firstLineChars="200"/>
    </w:pPr>
    <w:rPr>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2023-11-20T07:55:01Z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796B92C70F0F4764B01F0098AFD1D00F_12</vt:lpwstr>
  </property>
</Properties>
</file>