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采购项目编号：SCFY-YXZB202311-004（磋）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28</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1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591"/>
        <w:gridCol w:w="1248"/>
        <w:gridCol w:w="998"/>
        <w:gridCol w:w="996"/>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460" w:type="pct"/>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87"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608"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6"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8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67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460" w:type="pct"/>
            <w:vMerge w:val="continue"/>
            <w:noWrap w:val="0"/>
            <w:vAlign w:val="center"/>
          </w:tcPr>
          <w:p>
            <w:pPr>
              <w:spacing w:line="420" w:lineRule="exact"/>
              <w:jc w:val="center"/>
              <w:rPr>
                <w:rFonts w:hint="eastAsia" w:cs="宋体"/>
                <w:color w:val="000000"/>
                <w:kern w:val="0"/>
              </w:rPr>
            </w:pPr>
          </w:p>
        </w:tc>
        <w:tc>
          <w:tcPr>
            <w:tcW w:w="287"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1248" w:type="dxa"/>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一次性无创脑电传感器</w:t>
            </w:r>
          </w:p>
        </w:tc>
        <w:tc>
          <w:tcPr>
            <w:tcW w:w="998" w:type="dxa"/>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280元</w:t>
            </w:r>
          </w:p>
        </w:tc>
        <w:tc>
          <w:tcPr>
            <w:tcW w:w="996" w:type="dxa"/>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1000个</w:t>
            </w:r>
          </w:p>
        </w:tc>
        <w:tc>
          <w:tcPr>
            <w:tcW w:w="5484" w:type="dxa"/>
            <w:noWrap w:val="0"/>
            <w:vAlign w:val="top"/>
          </w:tcPr>
          <w:p>
            <w:pPr>
              <w:widowControl/>
              <w:jc w:val="both"/>
              <w:textAlignment w:val="center"/>
            </w:pPr>
            <w:r>
              <w:rPr>
                <w:rFonts w:hint="eastAsia"/>
                <w:lang w:val="en-US" w:eastAsia="zh-CN"/>
              </w:rPr>
              <w:t>用途：用于全身麻醉时麻醉深度监测，指导麻醉用药。</w:t>
            </w:r>
          </w:p>
          <w:p>
            <w:pPr>
              <w:numPr>
                <w:ilvl w:val="0"/>
                <w:numId w:val="1"/>
              </w:numPr>
              <w:rPr>
                <w:rFonts w:hint="default" w:ascii="Times New Roman" w:hAnsi="Times New Roman" w:cs="Times New Roman"/>
                <w:lang w:val="en-US" w:eastAsia="zh-CN"/>
              </w:rPr>
            </w:pPr>
            <w:r>
              <w:rPr>
                <w:rFonts w:hint="eastAsia" w:ascii="Times New Roman" w:hAnsi="Times New Roman" w:cs="Times New Roman"/>
                <w:lang w:val="en-US" w:eastAsia="zh-CN"/>
              </w:rPr>
              <w:t>由电极片、导线和连接器等组成。</w:t>
            </w:r>
          </w:p>
          <w:p>
            <w:pPr>
              <w:rPr>
                <w:rFonts w:hint="default" w:ascii="Times New Roman" w:hAnsi="Times New Roman" w:cs="Times New Roman"/>
                <w:lang w:val="en-US" w:eastAsia="zh-CN"/>
              </w:rPr>
            </w:pPr>
            <w:r>
              <w:rPr>
                <w:rFonts w:hint="eastAsia" w:ascii="Times New Roman" w:hAnsi="Times New Roman" w:cs="Times New Roman"/>
                <w:lang w:val="en-US" w:eastAsia="zh-CN"/>
              </w:rPr>
              <w:t>*2. 检测部位具有免脱脂技术设计。</w:t>
            </w:r>
          </w:p>
          <w:p>
            <w:pPr>
              <w:rPr>
                <w:rFonts w:hint="eastAsia" w:ascii="Times New Roman" w:hAnsi="Times New Roman" w:cs="Times New Roman"/>
                <w:lang w:val="en-US" w:eastAsia="zh-CN"/>
              </w:rPr>
            </w:pPr>
            <w:r>
              <w:rPr>
                <w:rFonts w:hint="eastAsia" w:ascii="Times New Roman" w:hAnsi="Times New Roman" w:cs="Times New Roman"/>
                <w:lang w:val="en-US" w:eastAsia="zh-CN"/>
              </w:rPr>
              <w:t>*3. 产品通过生物相溶性测试，无皮肤刺激性及过敏反应等。</w:t>
            </w:r>
          </w:p>
          <w:p>
            <w:pPr>
              <w:numPr>
                <w:ilvl w:val="0"/>
                <w:numId w:val="2"/>
              </w:numPr>
              <w:rPr>
                <w:rFonts w:hint="eastAsia" w:ascii="Times New Roman" w:hAnsi="Times New Roman" w:cs="Times New Roman"/>
                <w:lang w:val="en-US" w:eastAsia="zh-CN"/>
              </w:rPr>
            </w:pPr>
            <w:r>
              <w:rPr>
                <w:rFonts w:hint="eastAsia" w:ascii="Times New Roman" w:hAnsi="Times New Roman" w:cs="Times New Roman"/>
                <w:lang w:val="en-US" w:eastAsia="zh-CN"/>
              </w:rPr>
              <w:t>产品能有效阻绝电刀等外界干扰。</w:t>
            </w:r>
          </w:p>
          <w:p>
            <w:pPr>
              <w:numPr>
                <w:ilvl w:val="0"/>
                <w:numId w:val="0"/>
              </w:numPr>
              <w:ind w:leftChars="0"/>
              <w:rPr>
                <w:rFonts w:hint="default" w:ascii="Times New Roman" w:hAnsi="Times New Roman" w:cs="Times New Roman"/>
                <w:lang w:val="en-US" w:eastAsia="zh-CN"/>
              </w:rPr>
            </w:pPr>
            <w:r>
              <w:rPr>
                <w:rFonts w:hint="eastAsia" w:ascii="Times New Roman" w:hAnsi="Times New Roman" w:cs="Times New Roman"/>
                <w:lang w:val="en-US" w:eastAsia="zh-CN"/>
              </w:rPr>
              <w:t>*5. 适用于成人和儿童。</w:t>
            </w:r>
          </w:p>
          <w:p>
            <w:pPr>
              <w:numPr>
                <w:ilvl w:val="0"/>
                <w:numId w:val="0"/>
              </w:numPr>
              <w:ind w:leftChars="0"/>
              <w:rPr>
                <w:rFonts w:hint="default" w:ascii="Times New Roman" w:hAnsi="Times New Roman" w:cs="Times New Roman"/>
                <w:lang w:val="en-US" w:eastAsia="zh-CN"/>
              </w:rPr>
            </w:pPr>
            <w:r>
              <w:rPr>
                <w:rFonts w:hint="eastAsia" w:ascii="Times New Roman" w:hAnsi="Times New Roman" w:cs="Times New Roman"/>
                <w:lang w:val="en-US" w:eastAsia="zh-CN"/>
              </w:rPr>
              <w:t>6.一次性使用，无菌包装。</w:t>
            </w:r>
          </w:p>
          <w:p>
            <w:pPr>
              <w:rPr>
                <w:rFonts w:hint="eastAsia" w:ascii="Times New Roman" w:hAnsi="Times New Roman" w:cs="Times New Roman"/>
                <w:lang w:val="en-US" w:eastAsia="zh-CN"/>
              </w:rPr>
            </w:pPr>
            <w:r>
              <w:rPr>
                <w:rFonts w:hint="eastAsia" w:ascii="Times New Roman" w:hAnsi="Times New Roman" w:cs="Times New Roman"/>
                <w:lang w:val="en-US" w:eastAsia="zh-CN"/>
              </w:rPr>
              <w:t>▲7. 需与我院目前使用的麻醉监护仪（迈瑞N15）BIS模块相匹配。</w:t>
            </w:r>
          </w:p>
          <w:p>
            <w:pPr>
              <w:rPr>
                <w:rFonts w:hint="default"/>
                <w:lang w:val="en-US" w:eastAsia="zh-CN"/>
              </w:rPr>
            </w:pPr>
            <w:r>
              <w:rPr>
                <w:rFonts w:hint="eastAsia" w:ascii="Times New Roman" w:hAnsi="Times New Roman" w:cs="Times New Roman"/>
                <w:lang w:val="en-US" w:eastAsia="zh-CN"/>
              </w:rPr>
              <w:t>备注: 以上打▲号的条款为本次招标项目的实质性要求，不允许有负偏离。</w:t>
            </w:r>
          </w:p>
        </w:tc>
      </w:tr>
    </w:tbl>
    <w:p>
      <w:pPr>
        <w:pStyle w:val="4"/>
        <w:rPr>
          <w:rFonts w:hint="eastAsia" w:ascii="宋体" w:hAnsi="宋体" w:eastAsia="宋体" w:cs="仿宋"/>
          <w:sz w:val="24"/>
          <w:szCs w:val="24"/>
        </w:rPr>
      </w:pPr>
    </w:p>
    <w:bookmarkEnd w:id="1"/>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pPr w:leftFromText="180" w:rightFromText="180" w:vertAnchor="text" w:horzAnchor="page" w:tblpXSpec="center" w:tblpY="607"/>
        <w:tblOverlap w:val="never"/>
        <w:tblW w:w="50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636"/>
        <w:gridCol w:w="423"/>
        <w:gridCol w:w="4217"/>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72"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313"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08"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078"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212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272"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313"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08"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078"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2127" w:type="pct"/>
            <w:noWrap w:val="0"/>
            <w:vAlign w:val="center"/>
          </w:tcPr>
          <w:p>
            <w:pPr>
              <w:widowControl/>
              <w:numPr>
                <w:ilvl w:val="0"/>
                <w:numId w:val="3"/>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3"/>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272"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313"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48</w:t>
            </w:r>
            <w:r>
              <w:rPr>
                <w:rFonts w:hint="eastAsia" w:ascii="宋体" w:hAnsi="宋体" w:cs="Segoe UI"/>
                <w:color w:val="000000"/>
                <w:kern w:val="0"/>
                <w:sz w:val="18"/>
                <w:szCs w:val="18"/>
              </w:rPr>
              <w:t>%</w:t>
            </w:r>
          </w:p>
        </w:tc>
        <w:tc>
          <w:tcPr>
            <w:tcW w:w="208"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48</w:t>
            </w:r>
          </w:p>
        </w:tc>
        <w:tc>
          <w:tcPr>
            <w:tcW w:w="2078"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投标人提供的耗材</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试剂</w:t>
            </w:r>
            <w:r>
              <w:rPr>
                <w:rFonts w:hint="eastAsia" w:ascii="宋体" w:hAnsi="宋体" w:cs="宋体"/>
                <w:kern w:val="0"/>
                <w:sz w:val="18"/>
                <w:szCs w:val="18"/>
                <w:lang w:eastAsia="zh-CN"/>
              </w:rPr>
              <w:t>）</w:t>
            </w:r>
            <w:r>
              <w:rPr>
                <w:rFonts w:hint="eastAsia" w:ascii="宋体" w:hAnsi="宋体" w:cs="宋体"/>
                <w:kern w:val="0"/>
                <w:sz w:val="18"/>
                <w:szCs w:val="18"/>
              </w:rPr>
              <w:t>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45</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11</w:t>
            </w:r>
            <w:r>
              <w:rPr>
                <w:rFonts w:hint="eastAsia" w:ascii="宋体" w:hAnsi="宋体" w:cs="宋体"/>
                <w:color w:val="auto"/>
                <w:kern w:val="0"/>
                <w:sz w:val="18"/>
                <w:szCs w:val="18"/>
              </w:rPr>
              <w:t>分</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2127"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272" w:type="pct"/>
            <w:noWrap w:val="0"/>
            <w:vAlign w:val="center"/>
          </w:tcPr>
          <w:p>
            <w:pPr>
              <w:widowControl/>
              <w:wordWrap w:val="0"/>
              <w:spacing w:line="270" w:lineRule="atLeast"/>
              <w:jc w:val="center"/>
              <w:rPr>
                <w:rFonts w:hint="eastAsia"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p>
        </w:tc>
        <w:tc>
          <w:tcPr>
            <w:tcW w:w="313"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08"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078"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127"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val="en-US" w:eastAsia="zh-CN"/>
              </w:rPr>
              <w:t>或发票复印件</w:t>
            </w:r>
            <w:r>
              <w:rPr>
                <w:rFonts w:hint="eastAsia" w:ascii="宋体" w:hAnsi="宋体" w:cs="宋体"/>
                <w:kern w:val="0"/>
                <w:sz w:val="18"/>
                <w:szCs w:val="18"/>
              </w:rPr>
              <w:t>（若发票复印件上无产品明细则需附销货清单）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272" w:type="pct"/>
            <w:noWrap w:val="0"/>
            <w:vAlign w:val="center"/>
          </w:tcPr>
          <w:p>
            <w:pPr>
              <w:widowControl/>
              <w:wordWrap w:val="0"/>
              <w:spacing w:line="270" w:lineRule="atLeast"/>
              <w:jc w:val="center"/>
              <w:rPr>
                <w:rFonts w:hint="eastAsia" w:ascii="宋体" w:hAnsi="宋体" w:eastAsia="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4</w:t>
            </w:r>
          </w:p>
        </w:tc>
        <w:tc>
          <w:tcPr>
            <w:tcW w:w="313"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12</w:t>
            </w:r>
            <w:r>
              <w:rPr>
                <w:rFonts w:hint="eastAsia" w:ascii="宋体" w:hAnsi="宋体" w:cs="宋体"/>
                <w:color w:val="000000"/>
                <w:kern w:val="0"/>
                <w:sz w:val="18"/>
                <w:szCs w:val="18"/>
              </w:rPr>
              <w:t>%</w:t>
            </w:r>
          </w:p>
        </w:tc>
        <w:tc>
          <w:tcPr>
            <w:tcW w:w="208" w:type="pct"/>
            <w:noWrap w:val="0"/>
            <w:vAlign w:val="center"/>
          </w:tcPr>
          <w:p>
            <w:pPr>
              <w:widowControl/>
              <w:spacing w:line="320" w:lineRule="atLeast"/>
              <w:ind w:left="-105" w:leftChars="0" w:right="-107" w:rightChars="0"/>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12</w:t>
            </w:r>
          </w:p>
        </w:tc>
        <w:tc>
          <w:tcPr>
            <w:tcW w:w="2078"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12</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4</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2</w:t>
            </w:r>
            <w:r>
              <w:rPr>
                <w:rFonts w:hint="eastAsia" w:ascii="宋体" w:hAnsi="宋体" w:cs="宋体"/>
                <w:kern w:val="0"/>
                <w:sz w:val="18"/>
                <w:szCs w:val="18"/>
                <w:lang w:bidi="ar"/>
              </w:rPr>
              <w:t>分，分值扣完为止。</w:t>
            </w:r>
          </w:p>
        </w:tc>
        <w:tc>
          <w:tcPr>
            <w:tcW w:w="2127" w:type="pct"/>
            <w:noWrap w:val="0"/>
            <w:vAlign w:val="center"/>
          </w:tcPr>
          <w:p>
            <w:pPr>
              <w:wordWrap w:val="0"/>
              <w:jc w:val="left"/>
              <w:rPr>
                <w:rFonts w:ascii="宋体" w:hAnsi="宋体" w:cs="Segoe UI"/>
                <w:color w:val="000000"/>
                <w:kern w:val="0"/>
                <w:sz w:val="18"/>
                <w:szCs w:val="18"/>
                <w:lang w:val="en-US" w:eastAsia="zh-CN" w:bidi="ar-SA"/>
              </w:rPr>
            </w:pPr>
          </w:p>
        </w:tc>
      </w:tr>
    </w:tbl>
    <w:p>
      <w:pPr>
        <w:pStyle w:val="2"/>
        <w:shd w:val="clear"/>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bookmarkStart w:id="135" w:name="_GoBack"/>
      <w:bookmarkEnd w:id="135"/>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15614"/>
      <w:bookmarkStart w:id="5" w:name="_Toc21676"/>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208"/>
      <w:bookmarkStart w:id="8" w:name="_Toc30494"/>
      <w:bookmarkStart w:id="9" w:name="_Toc10689"/>
      <w:bookmarkStart w:id="10" w:name="_Toc12490"/>
      <w:bookmarkStart w:id="11" w:name="_Toc11076"/>
      <w:bookmarkStart w:id="12" w:name="_Toc5499"/>
      <w:bookmarkStart w:id="13" w:name="_Toc30275"/>
      <w:bookmarkStart w:id="14" w:name="_Toc14802"/>
      <w:bookmarkStart w:id="15" w:name="_Toc6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912"/>
      <w:bookmarkStart w:id="17" w:name="_Toc7067"/>
      <w:bookmarkStart w:id="18" w:name="_Toc9131"/>
      <w:bookmarkStart w:id="19" w:name="_Toc32214"/>
      <w:bookmarkStart w:id="20" w:name="_Toc10948"/>
      <w:bookmarkStart w:id="21" w:name="_Toc26481"/>
      <w:bookmarkStart w:id="22" w:name="_Toc28103"/>
      <w:bookmarkStart w:id="23" w:name="_Toc3081"/>
      <w:bookmarkStart w:id="24" w:name="_Toc10183"/>
      <w:bookmarkStart w:id="25" w:name="_Toc13021"/>
      <w:bookmarkStart w:id="26" w:name="_Toc30724"/>
      <w:bookmarkStart w:id="27" w:name="_Toc3392"/>
      <w:bookmarkStart w:id="28" w:name="_Toc30080"/>
      <w:bookmarkStart w:id="29" w:name="_Toc18513"/>
      <w:bookmarkStart w:id="30" w:name="_Toc3447"/>
      <w:bookmarkStart w:id="31" w:name="_Toc8717"/>
      <w:bookmarkStart w:id="32" w:name="_Toc19115"/>
      <w:bookmarkStart w:id="33" w:name="_Toc18879"/>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30649"/>
      <w:bookmarkStart w:id="35" w:name="_Toc22795"/>
      <w:bookmarkStart w:id="36" w:name="_Toc18259"/>
      <w:bookmarkStart w:id="37" w:name="_Toc30920"/>
      <w:bookmarkStart w:id="38" w:name="_Toc9042"/>
      <w:bookmarkStart w:id="39" w:name="_Toc7249"/>
      <w:bookmarkStart w:id="40" w:name="_Toc10142"/>
      <w:bookmarkStart w:id="41" w:name="_Toc23645"/>
      <w:bookmarkStart w:id="42" w:name="_Toc15196"/>
      <w:bookmarkStart w:id="43" w:name="_Toc23557"/>
      <w:bookmarkStart w:id="44" w:name="_Toc14004"/>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4"/>
      <w:bookmarkStart w:id="46" w:name="_Toc21988"/>
      <w:bookmarkStart w:id="47" w:name="_Toc24117"/>
      <w:bookmarkStart w:id="48" w:name="_Toc19600"/>
      <w:bookmarkStart w:id="49" w:name="_Toc30083"/>
      <w:bookmarkStart w:id="50" w:name="_Toc26548"/>
      <w:bookmarkStart w:id="51" w:name="_Toc3534"/>
      <w:bookmarkStart w:id="52" w:name="_Toc4775"/>
      <w:bookmarkStart w:id="53" w:name="_Toc25516"/>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3192"/>
      <w:bookmarkStart w:id="55" w:name="_Toc14887"/>
      <w:bookmarkStart w:id="56" w:name="_Toc12333"/>
      <w:bookmarkStart w:id="57" w:name="_Toc691"/>
      <w:bookmarkStart w:id="58" w:name="_Toc22198"/>
      <w:bookmarkStart w:id="59" w:name="_Toc32166"/>
      <w:bookmarkStart w:id="60" w:name="_Toc16666"/>
      <w:bookmarkStart w:id="61" w:name="_Toc21982"/>
      <w:bookmarkStart w:id="62" w:name="_Toc3494"/>
      <w:bookmarkStart w:id="63" w:name="_Toc27376"/>
      <w:bookmarkStart w:id="64" w:name="_Toc16764"/>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31581"/>
      <w:bookmarkStart w:id="66" w:name="_Toc14269"/>
      <w:bookmarkStart w:id="67" w:name="_Toc4577"/>
      <w:bookmarkStart w:id="68" w:name="_Toc22606"/>
      <w:bookmarkStart w:id="69" w:name="_Toc10013"/>
      <w:bookmarkStart w:id="70" w:name="_Toc9263"/>
      <w:bookmarkStart w:id="71" w:name="_Toc25068"/>
      <w:bookmarkStart w:id="72" w:name="_Toc1371"/>
      <w:bookmarkStart w:id="73" w:name="_Toc11914"/>
      <w:bookmarkStart w:id="74" w:name="_Toc3943"/>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3677"/>
      <w:bookmarkStart w:id="77" w:name="_Toc18935"/>
      <w:bookmarkStart w:id="78" w:name="_Toc29190"/>
      <w:bookmarkStart w:id="79" w:name="_Toc31890"/>
      <w:bookmarkStart w:id="80" w:name="_Toc3908"/>
      <w:bookmarkStart w:id="81" w:name="_Toc11489"/>
      <w:bookmarkStart w:id="82" w:name="_Toc2937"/>
      <w:bookmarkStart w:id="83" w:name="_Toc13267"/>
      <w:bookmarkStart w:id="84" w:name="_Toc2316"/>
      <w:bookmarkStart w:id="85" w:name="_Toc17108"/>
      <w:bookmarkStart w:id="86" w:name="_Toc10600"/>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24122"/>
      <w:bookmarkStart w:id="89" w:name="_Toc32365"/>
      <w:bookmarkStart w:id="90" w:name="_Toc15916"/>
      <w:bookmarkStart w:id="91" w:name="_Toc31638"/>
      <w:bookmarkStart w:id="92" w:name="_Toc14252"/>
      <w:bookmarkStart w:id="93" w:name="_Toc21351"/>
      <w:bookmarkStart w:id="94" w:name="_Toc26756"/>
      <w:bookmarkStart w:id="95" w:name="_Toc1313"/>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2760"/>
      <w:bookmarkStart w:id="98" w:name="_Toc15083"/>
      <w:bookmarkStart w:id="99" w:name="_Toc18046"/>
      <w:bookmarkStart w:id="100" w:name="_Toc15894"/>
      <w:bookmarkStart w:id="101" w:name="_Toc11278"/>
      <w:bookmarkStart w:id="102" w:name="_Toc26609"/>
      <w:bookmarkStart w:id="103" w:name="_Toc9398"/>
      <w:bookmarkStart w:id="104" w:name="_Toc19589"/>
      <w:bookmarkStart w:id="105" w:name="_Toc27948"/>
      <w:bookmarkStart w:id="106" w:name="_Toc27985"/>
      <w:bookmarkStart w:id="107" w:name="_Toc23212"/>
      <w:bookmarkStart w:id="108" w:name="_Toc10583"/>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107"/>
      <w:bookmarkStart w:id="111" w:name="_Toc17204"/>
      <w:bookmarkStart w:id="112" w:name="_Toc24671"/>
      <w:bookmarkStart w:id="113" w:name="_Toc17741"/>
      <w:bookmarkStart w:id="114" w:name="_Toc757"/>
      <w:bookmarkStart w:id="115" w:name="_Toc8940"/>
      <w:bookmarkStart w:id="116" w:name="_Toc29648"/>
      <w:bookmarkStart w:id="117" w:name="_Toc24655"/>
      <w:bookmarkStart w:id="118" w:name="_Toc8083"/>
      <w:bookmarkStart w:id="119" w:name="_Toc4116"/>
      <w:bookmarkStart w:id="120" w:name="_Toc27767"/>
      <w:bookmarkStart w:id="121" w:name="_Toc14546"/>
      <w:bookmarkStart w:id="122" w:name="_Toc83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20745"/>
      <w:bookmarkStart w:id="124" w:name="_Toc14781"/>
      <w:bookmarkStart w:id="125" w:name="_Toc22243"/>
      <w:bookmarkStart w:id="126" w:name="_Toc10308"/>
      <w:bookmarkStart w:id="127" w:name="_Toc10950"/>
      <w:bookmarkStart w:id="128" w:name="_Toc5840"/>
      <w:bookmarkStart w:id="129" w:name="_Toc10945"/>
      <w:bookmarkStart w:id="130" w:name="_Toc24280"/>
      <w:bookmarkStart w:id="131" w:name="_Toc8524"/>
      <w:bookmarkStart w:id="132" w:name="_Toc15917"/>
      <w:bookmarkStart w:id="133" w:name="_Toc2003"/>
      <w:bookmarkStart w:id="134" w:name="_Toc12682"/>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5FAF02"/>
    <w:multiLevelType w:val="singleLevel"/>
    <w:tmpl w:val="A45FAF02"/>
    <w:lvl w:ilvl="0" w:tentative="0">
      <w:start w:val="4"/>
      <w:numFmt w:val="decimal"/>
      <w:suff w:val="space"/>
      <w:lvlText w:val="%1."/>
      <w:lvlJc w:val="left"/>
    </w:lvl>
  </w:abstractNum>
  <w:abstractNum w:abstractNumId="1">
    <w:nsid w:val="B218E55A"/>
    <w:multiLevelType w:val="singleLevel"/>
    <w:tmpl w:val="B218E55A"/>
    <w:lvl w:ilvl="0" w:tentative="0">
      <w:start w:val="1"/>
      <w:numFmt w:val="decimal"/>
      <w:suff w:val="space"/>
      <w:lvlText w:val="%1."/>
      <w:lvlJc w:val="left"/>
    </w:lvl>
  </w:abstractNum>
  <w:abstractNum w:abstractNumId="2">
    <w:nsid w:val="0723BC51"/>
    <w:multiLevelType w:val="singleLevel"/>
    <w:tmpl w:val="0723BC51"/>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7953CAB"/>
    <w:rsid w:val="07B925A7"/>
    <w:rsid w:val="0BF815CE"/>
    <w:rsid w:val="0E911C5D"/>
    <w:rsid w:val="10954EC2"/>
    <w:rsid w:val="12A81059"/>
    <w:rsid w:val="13485B4A"/>
    <w:rsid w:val="14456F80"/>
    <w:rsid w:val="195D2073"/>
    <w:rsid w:val="1A37043E"/>
    <w:rsid w:val="228C2840"/>
    <w:rsid w:val="26D9225C"/>
    <w:rsid w:val="272816FC"/>
    <w:rsid w:val="28203DA9"/>
    <w:rsid w:val="2E811DD5"/>
    <w:rsid w:val="357C4381"/>
    <w:rsid w:val="364F4E7F"/>
    <w:rsid w:val="365344A5"/>
    <w:rsid w:val="396510AC"/>
    <w:rsid w:val="3ED3727D"/>
    <w:rsid w:val="405F3E1B"/>
    <w:rsid w:val="41EE0E8D"/>
    <w:rsid w:val="4669398D"/>
    <w:rsid w:val="48983A5D"/>
    <w:rsid w:val="4AE36A9A"/>
    <w:rsid w:val="4B7A520A"/>
    <w:rsid w:val="4EE10A0C"/>
    <w:rsid w:val="51CB3FD0"/>
    <w:rsid w:val="53914C7E"/>
    <w:rsid w:val="5536063D"/>
    <w:rsid w:val="55F211D3"/>
    <w:rsid w:val="56183BA8"/>
    <w:rsid w:val="577B25E6"/>
    <w:rsid w:val="5C452678"/>
    <w:rsid w:val="5FEC0FA4"/>
    <w:rsid w:val="60795DD8"/>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2</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2023-11-22T02:14:51Z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