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采购项目编号：SCFY-YXZB202311-009（磋）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7.98</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591"/>
        <w:gridCol w:w="1248"/>
        <w:gridCol w:w="998"/>
        <w:gridCol w:w="996"/>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60"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8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608"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6"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8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6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460" w:type="pct"/>
            <w:vMerge w:val="continue"/>
            <w:noWrap w:val="0"/>
            <w:vAlign w:val="center"/>
          </w:tcPr>
          <w:p>
            <w:pPr>
              <w:spacing w:line="420" w:lineRule="exact"/>
              <w:jc w:val="center"/>
              <w:rPr>
                <w:rFonts w:hint="eastAsia" w:cs="宋体"/>
                <w:color w:val="000000"/>
                <w:kern w:val="0"/>
              </w:rPr>
            </w:pPr>
          </w:p>
        </w:tc>
        <w:tc>
          <w:tcPr>
            <w:tcW w:w="287"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608" w:type="pct"/>
            <w:noWrap w:val="0"/>
            <w:vAlign w:val="center"/>
          </w:tcPr>
          <w:p>
            <w:pPr>
              <w:widowControl/>
              <w:jc w:val="center"/>
              <w:textAlignment w:val="center"/>
              <w:rPr>
                <w:rFonts w:hint="default" w:ascii="宋体" w:hAnsi="宋体" w:eastAsia="宋体"/>
                <w:lang w:val="en-US" w:eastAsia="zh-CN"/>
              </w:rPr>
            </w:pPr>
            <w:r>
              <w:rPr>
                <w:rFonts w:hint="eastAsia" w:ascii="Times New Roman" w:hAnsi="Times New Roman" w:eastAsia="宋体" w:cs="Times New Roman"/>
                <w:lang w:val="en-US" w:eastAsia="zh-CN"/>
              </w:rPr>
              <w:t>福尔马林固定液</w:t>
            </w:r>
          </w:p>
        </w:tc>
        <w:tc>
          <w:tcPr>
            <w:tcW w:w="486"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76元</w:t>
            </w:r>
          </w:p>
        </w:tc>
        <w:tc>
          <w:tcPr>
            <w:tcW w:w="485"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1050桶</w:t>
            </w:r>
          </w:p>
        </w:tc>
        <w:tc>
          <w:tcPr>
            <w:tcW w:w="2671" w:type="pct"/>
            <w:noWrap w:val="0"/>
            <w:vAlign w:val="top"/>
          </w:tcPr>
          <w:p>
            <w:pPr>
              <w:rPr>
                <w:rFonts w:hint="eastAsia"/>
                <w:lang w:val="en-US" w:eastAsia="zh-CN"/>
              </w:rPr>
            </w:pPr>
            <w:r>
              <w:rPr>
                <w:rFonts w:hint="eastAsia"/>
                <w:lang w:val="en-US" w:eastAsia="zh-CN"/>
              </w:rPr>
              <w:t>用途：作为手术必备耗材。</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宋体"/>
                <w:color w:val="000000"/>
                <w:kern w:val="0"/>
                <w:sz w:val="21"/>
                <w:szCs w:val="21"/>
                <w:lang w:val="en-US" w:eastAsia="zh-CN" w:bidi="ar-SA"/>
              </w:rPr>
            </w:pPr>
            <w:r>
              <w:rPr>
                <w:rFonts w:hint="eastAsia" w:ascii="Times New Roman" w:hAnsi="Times New Roman" w:eastAsia="宋体" w:cs="宋体"/>
                <w:color w:val="000000"/>
                <w:kern w:val="0"/>
                <w:sz w:val="21"/>
                <w:szCs w:val="21"/>
                <w:lang w:val="en-US" w:eastAsia="zh-CN" w:bidi="ar-SA"/>
              </w:rPr>
              <w:t xml:space="preserve">1．产品用途：供固定病理标本专用。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宋体"/>
                <w:color w:val="000000"/>
                <w:kern w:val="0"/>
                <w:sz w:val="21"/>
                <w:szCs w:val="21"/>
                <w:lang w:val="en-US" w:eastAsia="zh-CN" w:bidi="ar-SA"/>
              </w:rPr>
            </w:pPr>
            <w:r>
              <w:rPr>
                <w:rFonts w:hint="eastAsia" w:ascii="Times New Roman" w:hAnsi="Times New Roman" w:eastAsia="宋体" w:cs="宋体"/>
                <w:color w:val="000000"/>
                <w:kern w:val="0"/>
                <w:sz w:val="21"/>
                <w:szCs w:val="21"/>
                <w:lang w:val="en-US" w:eastAsia="zh-CN" w:bidi="ar-SA"/>
              </w:rPr>
              <w:t>2．主要技术参数要求：</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lang w:val="en-US" w:eastAsia="zh-CN"/>
              </w:rPr>
            </w:pPr>
            <w:r>
              <w:rPr>
                <w:rFonts w:hint="eastAsia" w:ascii="Times New Roman" w:hAnsi="Times New Roman" w:eastAsia="宋体" w:cs="宋体"/>
                <w:color w:val="000000"/>
                <w:kern w:val="0"/>
                <w:sz w:val="21"/>
                <w:szCs w:val="21"/>
                <w:lang w:val="en-US" w:eastAsia="zh-CN" w:bidi="ar-SA"/>
              </w:rPr>
              <w:t>2.1 固定组织样本。</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宋体"/>
                <w:color w:val="000000"/>
                <w:kern w:val="0"/>
                <w:sz w:val="21"/>
                <w:szCs w:val="21"/>
                <w:lang w:val="en-US" w:eastAsia="zh-CN" w:bidi="ar-SA"/>
              </w:rPr>
            </w:pPr>
            <w:r>
              <w:rPr>
                <w:rFonts w:hint="eastAsia" w:ascii="Times New Roman" w:hAnsi="Times New Roman" w:eastAsia="宋体" w:cs="宋体"/>
                <w:color w:val="000000"/>
                <w:kern w:val="0"/>
                <w:sz w:val="21"/>
                <w:szCs w:val="21"/>
                <w:lang w:val="en-US" w:eastAsia="zh-CN" w:bidi="ar-SA"/>
              </w:rPr>
              <w:t>2.2对抗原物质的保存。</w:t>
            </w:r>
          </w:p>
          <w:p>
            <w:pPr>
              <w:pStyle w:val="2"/>
              <w:rPr>
                <w:rFonts w:hint="default"/>
                <w:lang w:val="en-US" w:eastAsia="zh-CN"/>
              </w:rPr>
            </w:pPr>
            <w:r>
              <w:rPr>
                <w:rFonts w:hint="eastAsia" w:ascii="Times New Roman" w:hAnsi="Times New Roman" w:eastAsia="宋体" w:cs="宋体"/>
                <w:color w:val="000000"/>
                <w:kern w:val="0"/>
                <w:sz w:val="21"/>
                <w:szCs w:val="21"/>
                <w:lang w:val="en-US" w:eastAsia="zh-CN" w:bidi="ar-SA"/>
              </w:rPr>
              <w:t>2.3 适用于住院手术室等需求量大的科室。</w:t>
            </w:r>
          </w:p>
        </w:tc>
      </w:tr>
    </w:tbl>
    <w:p>
      <w:pPr>
        <w:pStyle w:val="4"/>
        <w:rPr>
          <w:rFonts w:hint="eastAsia" w:ascii="宋体" w:hAnsi="宋体" w:eastAsia="宋体" w:cs="仿宋"/>
          <w:sz w:val="24"/>
          <w:szCs w:val="24"/>
        </w:rPr>
      </w:pPr>
    </w:p>
    <w:bookmarkEnd w:id="1"/>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rPr>
          <w:rFonts w:hint="eastAsia" w:ascii="Times New Roman" w:hAnsi="Times New Roman" w:eastAsia="宋体" w:cs="Times New Roman"/>
          <w:b w:val="0"/>
          <w:bCs w:val="0"/>
          <w:kern w:val="2"/>
          <w:sz w:val="21"/>
          <w:szCs w:val="22"/>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r>
        <w:rPr>
          <w:rFonts w:hint="eastAsia" w:ascii="Times New Roman" w:hAnsi="Times New Roman" w:eastAsia="宋体" w:cs="Times New Roman"/>
          <w:b w:val="0"/>
          <w:bCs w:val="0"/>
          <w:kern w:val="2"/>
          <w:sz w:val="21"/>
          <w:szCs w:val="22"/>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3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684"/>
        <w:gridCol w:w="423"/>
        <w:gridCol w:w="5213"/>
        <w:gridCol w:w="407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1"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318"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19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42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896" w:type="pct"/>
            <w:gridSpan w:val="2"/>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426"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1895"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337"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p>
        </w:tc>
        <w:tc>
          <w:tcPr>
            <w:tcW w:w="2426"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投标人提供的耗材</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试剂</w:t>
            </w:r>
            <w:r>
              <w:rPr>
                <w:rFonts w:hint="eastAsia" w:ascii="宋体" w:hAnsi="宋体" w:cs="宋体"/>
                <w:kern w:val="0"/>
                <w:sz w:val="18"/>
                <w:szCs w:val="18"/>
                <w:lang w:eastAsia="zh-CN"/>
              </w:rPr>
              <w:t>）</w:t>
            </w:r>
            <w:r>
              <w:rPr>
                <w:rFonts w:hint="eastAsia" w:ascii="宋体" w:hAnsi="宋体" w:cs="宋体"/>
                <w:kern w:val="0"/>
                <w:sz w:val="18"/>
                <w:szCs w:val="18"/>
              </w:rPr>
              <w:t>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20</w:t>
            </w:r>
            <w:r>
              <w:rPr>
                <w:rFonts w:hint="eastAsia" w:ascii="宋体" w:hAnsi="宋体" w:cs="宋体"/>
                <w:color w:val="auto"/>
                <w:kern w:val="0"/>
                <w:sz w:val="18"/>
                <w:szCs w:val="18"/>
              </w:rPr>
              <w:t>分</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1895"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p>
        </w:tc>
        <w:tc>
          <w:tcPr>
            <w:tcW w:w="2426"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w:t>
            </w:r>
            <w:bookmarkStart w:id="135" w:name="_GoBack"/>
            <w:bookmarkEnd w:id="135"/>
            <w:r>
              <w:rPr>
                <w:rFonts w:hint="eastAsia" w:ascii="宋体" w:hAnsi="宋体" w:cs="宋体"/>
                <w:kern w:val="0"/>
                <w:sz w:val="18"/>
                <w:szCs w:val="18"/>
              </w:rPr>
              <w:t>观、材质、性能3个方面进行评价，每有1个方面不符合临床需求的扣4分，扣完为止。未提供或提供不全本项不得分。</w:t>
            </w:r>
          </w:p>
        </w:tc>
        <w:tc>
          <w:tcPr>
            <w:tcW w:w="1895"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75" w:hRule="atLeast"/>
          <w:jc w:val="center"/>
        </w:trPr>
        <w:tc>
          <w:tcPr>
            <w:tcW w:w="161"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426"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1895"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default"/>
                <w:lang w:val="en-US" w:eastAsia="zh-CN"/>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166"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318"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196"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426"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1895" w:type="pct"/>
            <w:noWrap w:val="0"/>
            <w:vAlign w:val="center"/>
          </w:tcPr>
          <w:p>
            <w:pPr>
              <w:wordWrap w:val="0"/>
              <w:jc w:val="left"/>
              <w:rPr>
                <w:rFonts w:ascii="宋体" w:hAnsi="宋体" w:cs="Segoe UI"/>
                <w:color w:val="000000"/>
                <w:kern w:val="0"/>
                <w:sz w:val="18"/>
                <w:szCs w:val="18"/>
                <w:lang w:val="en-US" w:eastAsia="zh-CN" w:bidi="ar-SA"/>
              </w:rPr>
            </w:pPr>
          </w:p>
        </w:tc>
      </w:tr>
    </w:tbl>
    <w:p>
      <w:pPr>
        <w:pStyle w:val="2"/>
        <w:shd w:val="clear"/>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1、封面（公司、项目、联系人、联系方式）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2、目录</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3、品目及报价表（格式见附件4）</w:t>
      </w:r>
    </w:p>
    <w:p>
      <w:pPr>
        <w:widowControl/>
        <w:shd w:val="clear" w:color="auto"/>
        <w:wordWrap w:val="0"/>
        <w:ind w:firstLine="512"/>
        <w:jc w:val="left"/>
        <w:rPr>
          <w:rFonts w:ascii="仿宋_GB2312" w:hAnsi="Segoe UI" w:eastAsia="仿宋_GB2312" w:cs="Segoe UI"/>
          <w:color w:val="000000" w:themeColor="text1"/>
          <w:spacing w:val="8"/>
          <w:kern w:val="0"/>
          <w:sz w:val="24"/>
          <w:szCs w:val="24"/>
        </w:rPr>
      </w:pPr>
      <w:r>
        <w:rPr>
          <w:rFonts w:hint="eastAsia" w:ascii="仿宋_GB2312" w:hAnsi="Segoe UI" w:eastAsia="仿宋_GB2312" w:cs="Segoe UI"/>
          <w:color w:val="000000" w:themeColor="text1"/>
          <w:spacing w:val="8"/>
          <w:kern w:val="0"/>
          <w:sz w:val="24"/>
          <w:szCs w:val="24"/>
        </w:rPr>
        <w:t>4、规格型号、配置及偏离表（格式见附件4）</w:t>
      </w:r>
    </w:p>
    <w:p>
      <w:pPr>
        <w:widowControl/>
        <w:shd w:val="clear" w:color="auto"/>
        <w:wordWrap w:val="0"/>
        <w:ind w:firstLine="512"/>
        <w:jc w:val="left"/>
        <w:rPr>
          <w:rFonts w:hint="eastAsia" w:ascii="仿宋_GB2312" w:hAnsi="Segoe UI" w:eastAsia="仿宋_GB2312" w:cs="Segoe UI"/>
          <w:spacing w:val="8"/>
          <w:kern w:val="0"/>
          <w:sz w:val="24"/>
          <w:szCs w:val="24"/>
        </w:rPr>
      </w:pPr>
      <w:r>
        <w:rPr>
          <w:rFonts w:hint="eastAsia" w:ascii="仿宋_GB2312" w:hAnsi="Segoe UI" w:eastAsia="仿宋_GB2312" w:cs="Segoe UI"/>
          <w:spacing w:val="8"/>
          <w:kern w:val="0"/>
          <w:sz w:val="24"/>
          <w:szCs w:val="24"/>
        </w:rPr>
        <w:t>5、承诺函（格式见附件4）</w:t>
      </w:r>
    </w:p>
    <w:p>
      <w:pPr>
        <w:widowControl/>
        <w:shd w:val="clear" w:color="auto"/>
        <w:wordWrap w:val="0"/>
        <w:ind w:firstLine="512"/>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6、企业营业执照（复印件）</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9、生产厂家授权书（投标人不是生产厂家的）</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11、如是医疗器械，须提供“医疗器械产品注册证和注册登记表”（复印件）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16、产品质量及货源保证书</w:t>
      </w:r>
    </w:p>
    <w:p>
      <w:pPr>
        <w:widowControl/>
        <w:shd w:val="clear" w:color="auto"/>
        <w:wordWrap w:val="0"/>
        <w:ind w:firstLine="51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18、如有，提供进口原材料证明书或产品报关资料等</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21、如有，国家规定的其它相关资质证明文件或其它涉及特许经营许可的须提供相关证书。如：卫生许可证、药品经营许可证、生产批件或新药证书等；</w:t>
      </w:r>
    </w:p>
    <w:p>
      <w:pPr>
        <w:widowControl/>
        <w:shd w:val="clear" w:color="auto"/>
        <w:wordWrap w:val="0"/>
        <w:ind w:firstLine="48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22、社保缴纳证明；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23、</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9234"/>
      <w:bookmarkStart w:id="5" w:name="_Toc15614"/>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10689"/>
      <w:bookmarkStart w:id="9" w:name="_Toc12490"/>
      <w:bookmarkStart w:id="10" w:name="_Toc5208"/>
      <w:bookmarkStart w:id="11" w:name="_Toc30275"/>
      <w:bookmarkStart w:id="12" w:name="_Toc60"/>
      <w:bookmarkStart w:id="13" w:name="_Toc14802"/>
      <w:bookmarkStart w:id="14" w:name="_Toc30494"/>
      <w:bookmarkStart w:id="15" w:name="_Toc549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948"/>
      <w:bookmarkStart w:id="17" w:name="_Toc10183"/>
      <w:bookmarkStart w:id="18" w:name="_Toc30724"/>
      <w:bookmarkStart w:id="19" w:name="_Toc26481"/>
      <w:bookmarkStart w:id="20" w:name="_Toc3912"/>
      <w:bookmarkStart w:id="21" w:name="_Toc3081"/>
      <w:bookmarkStart w:id="22" w:name="_Toc13021"/>
      <w:bookmarkStart w:id="23" w:name="_Toc28103"/>
      <w:bookmarkStart w:id="24" w:name="_Toc32214"/>
      <w:bookmarkStart w:id="25" w:name="_Toc9131"/>
      <w:bookmarkStart w:id="26" w:name="_Toc7067"/>
      <w:bookmarkStart w:id="27" w:name="_Toc19115"/>
      <w:bookmarkStart w:id="28" w:name="_Toc8717"/>
      <w:bookmarkStart w:id="29" w:name="_Toc3392"/>
      <w:bookmarkStart w:id="30" w:name="_Toc3447"/>
      <w:bookmarkStart w:id="31" w:name="_Toc30080"/>
      <w:bookmarkStart w:id="32" w:name="_Toc18513"/>
      <w:bookmarkStart w:id="33" w:name="_Toc18879"/>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23645"/>
      <w:bookmarkStart w:id="35" w:name="_Toc9042"/>
      <w:bookmarkStart w:id="36" w:name="_Toc22795"/>
      <w:bookmarkStart w:id="37" w:name="_Toc30649"/>
      <w:bookmarkStart w:id="38" w:name="_Toc15196"/>
      <w:bookmarkStart w:id="39" w:name="_Toc7249"/>
      <w:bookmarkStart w:id="40" w:name="_Toc30920"/>
      <w:bookmarkStart w:id="41" w:name="_Toc18259"/>
      <w:bookmarkStart w:id="42" w:name="_Toc10142"/>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1988"/>
      <w:bookmarkStart w:id="46" w:name="_Toc3534"/>
      <w:bookmarkStart w:id="47" w:name="_Toc24117"/>
      <w:bookmarkStart w:id="48" w:name="_Toc4775"/>
      <w:bookmarkStart w:id="49" w:name="_Toc3004"/>
      <w:bookmarkStart w:id="50" w:name="_Toc30083"/>
      <w:bookmarkStart w:id="51" w:name="_Toc26548"/>
      <w:bookmarkStart w:id="52" w:name="_Toc19600"/>
      <w:bookmarkStart w:id="53" w:name="_Toc25516"/>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7376"/>
      <w:bookmarkStart w:id="55" w:name="_Toc16764"/>
      <w:bookmarkStart w:id="56" w:name="_Toc14887"/>
      <w:bookmarkStart w:id="57" w:name="_Toc32166"/>
      <w:bookmarkStart w:id="58" w:name="_Toc23192"/>
      <w:bookmarkStart w:id="59" w:name="_Toc21982"/>
      <w:bookmarkStart w:id="60" w:name="_Toc12333"/>
      <w:bookmarkStart w:id="61" w:name="_Toc22198"/>
      <w:bookmarkStart w:id="62" w:name="_Toc691"/>
      <w:bookmarkStart w:id="63" w:name="_Toc16666"/>
      <w:bookmarkStart w:id="64" w:name="_Toc349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22606"/>
      <w:bookmarkStart w:id="66" w:name="_Toc9263"/>
      <w:bookmarkStart w:id="67" w:name="_Toc4577"/>
      <w:bookmarkStart w:id="68" w:name="_Toc25068"/>
      <w:bookmarkStart w:id="69" w:name="_Toc11914"/>
      <w:bookmarkStart w:id="70" w:name="_Toc31581"/>
      <w:bookmarkStart w:id="71" w:name="_Toc3943"/>
      <w:bookmarkStart w:id="72" w:name="_Toc14269"/>
      <w:bookmarkStart w:id="73" w:name="_Toc10013"/>
      <w:bookmarkStart w:id="74" w:name="_Toc1371"/>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316"/>
      <w:bookmarkStart w:id="77" w:name="_Toc31890"/>
      <w:bookmarkStart w:id="78" w:name="_Toc2937"/>
      <w:bookmarkStart w:id="79" w:name="_Toc17108"/>
      <w:bookmarkStart w:id="80" w:name="_Toc13677"/>
      <w:bookmarkStart w:id="81" w:name="_Toc13267"/>
      <w:bookmarkStart w:id="82" w:name="_Toc29190"/>
      <w:bookmarkStart w:id="83" w:name="_Toc3908"/>
      <w:bookmarkStart w:id="84" w:name="_Toc18935"/>
      <w:bookmarkStart w:id="85" w:name="_Toc10600"/>
      <w:bookmarkStart w:id="86" w:name="_Toc11489"/>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1351"/>
      <w:bookmarkStart w:id="88" w:name="_Toc14252"/>
      <w:bookmarkStart w:id="89" w:name="_Toc32365"/>
      <w:bookmarkStart w:id="90" w:name="_Toc31638"/>
      <w:bookmarkStart w:id="91" w:name="_Toc26756"/>
      <w:bookmarkStart w:id="92" w:name="_Toc15916"/>
      <w:bookmarkStart w:id="93" w:name="_Toc24122"/>
      <w:bookmarkStart w:id="94" w:name="_Toc1313"/>
      <w:bookmarkStart w:id="95" w:name="_Toc12088"/>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9215"/>
      <w:bookmarkStart w:id="98" w:name="_Toc18046"/>
      <w:bookmarkStart w:id="99" w:name="_Toc23212"/>
      <w:bookmarkStart w:id="100" w:name="_Toc11278"/>
      <w:bookmarkStart w:id="101" w:name="_Toc10583"/>
      <w:bookmarkStart w:id="102" w:name="_Toc9398"/>
      <w:bookmarkStart w:id="103" w:name="_Toc15083"/>
      <w:bookmarkStart w:id="104" w:name="_Toc27985"/>
      <w:bookmarkStart w:id="105" w:name="_Toc26609"/>
      <w:bookmarkStart w:id="106" w:name="_Toc22760"/>
      <w:bookmarkStart w:id="107" w:name="_Toc15894"/>
      <w:bookmarkStart w:id="108" w:name="_Toc19589"/>
      <w:bookmarkStart w:id="109" w:name="_Toc27948"/>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14546"/>
      <w:bookmarkStart w:id="111" w:name="_Toc27767"/>
      <w:bookmarkStart w:id="112" w:name="_Toc24107"/>
      <w:bookmarkStart w:id="113" w:name="_Toc17204"/>
      <w:bookmarkStart w:id="114" w:name="_Toc8348"/>
      <w:bookmarkStart w:id="115" w:name="_Toc757"/>
      <w:bookmarkStart w:id="116" w:name="_Toc29648"/>
      <w:bookmarkStart w:id="117" w:name="_Toc24655"/>
      <w:bookmarkStart w:id="118" w:name="_Toc8940"/>
      <w:bookmarkStart w:id="119" w:name="_Toc24671"/>
      <w:bookmarkStart w:id="120" w:name="_Toc4116"/>
      <w:bookmarkStart w:id="121" w:name="_Toc17741"/>
      <w:bookmarkStart w:id="122" w:name="_Toc8083"/>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2243"/>
      <w:bookmarkStart w:id="124" w:name="_Toc15917"/>
      <w:bookmarkStart w:id="125" w:name="_Toc10308"/>
      <w:bookmarkStart w:id="126" w:name="_Toc24280"/>
      <w:bookmarkStart w:id="127" w:name="_Toc10950"/>
      <w:bookmarkStart w:id="128" w:name="_Toc2003"/>
      <w:bookmarkStart w:id="129" w:name="_Toc14781"/>
      <w:bookmarkStart w:id="130" w:name="_Toc10945"/>
      <w:bookmarkStart w:id="131" w:name="_Toc8524"/>
      <w:bookmarkStart w:id="132" w:name="_Toc5840"/>
      <w:bookmarkStart w:id="133" w:name="_Toc12682"/>
      <w:bookmarkStart w:id="134" w:name="_Toc207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7953CAB"/>
    <w:rsid w:val="07B925A7"/>
    <w:rsid w:val="0BF815CE"/>
    <w:rsid w:val="0E911C5D"/>
    <w:rsid w:val="10954EC2"/>
    <w:rsid w:val="12A81059"/>
    <w:rsid w:val="14456F80"/>
    <w:rsid w:val="195D2073"/>
    <w:rsid w:val="1A37043E"/>
    <w:rsid w:val="228C2840"/>
    <w:rsid w:val="272816FC"/>
    <w:rsid w:val="28203DA9"/>
    <w:rsid w:val="3121685C"/>
    <w:rsid w:val="357C4381"/>
    <w:rsid w:val="364F4E7F"/>
    <w:rsid w:val="365344A5"/>
    <w:rsid w:val="396510AC"/>
    <w:rsid w:val="3ED3727D"/>
    <w:rsid w:val="405F3E1B"/>
    <w:rsid w:val="418C3125"/>
    <w:rsid w:val="41EE0E8D"/>
    <w:rsid w:val="48983A5D"/>
    <w:rsid w:val="4AE36A9A"/>
    <w:rsid w:val="4B7A520A"/>
    <w:rsid w:val="4EE10A0C"/>
    <w:rsid w:val="51CB3FD0"/>
    <w:rsid w:val="5536063D"/>
    <w:rsid w:val="55F211D3"/>
    <w:rsid w:val="577B25E6"/>
    <w:rsid w:val="5C452678"/>
    <w:rsid w:val="5FEC0FA4"/>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D57369"/>
    <w:rsid w:val="75233D75"/>
    <w:rsid w:val="77490A08"/>
    <w:rsid w:val="78BA1DAC"/>
    <w:rsid w:val="799A6260"/>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6</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小月妹</cp:lastModifiedBy>
  <dcterms:modified xsi:type="dcterms:W3CDTF">2023-11-24T00:37:07Z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