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334" w:type="dxa"/>
            <w:noWrap w:val="0"/>
            <w:vAlign w:val="center"/>
          </w:tcPr>
          <w:p>
            <w:pPr>
              <w:spacing w:line="360" w:lineRule="exact"/>
              <w:jc w:val="center"/>
              <w:rPr>
                <w:rFonts w:hint="eastAsia" w:ascii="宋体" w:hAnsi="宋体" w:eastAsia="宋体" w:cs="宋体"/>
                <w:lang w:val="en-US" w:eastAsia="zh-CN"/>
              </w:rPr>
            </w:pPr>
            <w:r>
              <w:rPr>
                <w:rFonts w:hint="eastAsia" w:ascii="宋体" w:hAnsi="Times New Roman" w:eastAsia="宋体" w:cs="Times New Roman"/>
                <w:lang w:val="en-US" w:eastAsia="zh-CN"/>
              </w:rPr>
              <w:t>新生儿有创无创呼吸机</w:t>
            </w:r>
          </w:p>
        </w:tc>
        <w:tc>
          <w:tcPr>
            <w:tcW w:w="1850" w:type="dxa"/>
            <w:noWrap w:val="0"/>
            <w:vAlign w:val="center"/>
          </w:tcPr>
          <w:p>
            <w:pPr>
              <w:spacing w:line="360" w:lineRule="exact"/>
              <w:jc w:val="center"/>
              <w:rPr>
                <w:rFonts w:hint="eastAsia" w:ascii="宋体" w:hAnsi="宋体" w:eastAsia="宋体" w:cs="宋体"/>
                <w:lang w:val="en-US" w:eastAsia="zh-CN"/>
              </w:rPr>
            </w:pPr>
            <w:r>
              <w:rPr>
                <w:rFonts w:hint="eastAsia" w:ascii="宋体" w:hAnsi="宋体"/>
                <w:lang w:val="en-US" w:eastAsia="zh-CN"/>
              </w:rPr>
              <w:t>1</w:t>
            </w:r>
          </w:p>
        </w:tc>
        <w:tc>
          <w:tcPr>
            <w:tcW w:w="1395" w:type="pct"/>
            <w:noWrap w:val="0"/>
            <w:vAlign w:val="center"/>
          </w:tcPr>
          <w:p>
            <w:pPr>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25</w:t>
            </w:r>
            <w:bookmarkStart w:id="1" w:name="_GoBack"/>
            <w:bookmarkEnd w:id="1"/>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1"/>
        </w:numPr>
        <w:spacing w:line="360" w:lineRule="exact"/>
        <w:jc w:val="left"/>
        <w:rPr>
          <w:rFonts w:hint="eastAsia"/>
          <w:b/>
          <w:bCs/>
          <w:lang w:val="en-US" w:eastAsia="zh-CN"/>
        </w:rPr>
      </w:pPr>
      <w:r>
        <w:rPr>
          <w:rFonts w:hint="eastAsia"/>
          <w:b/>
          <w:bCs/>
          <w:lang w:val="en-US" w:eastAsia="zh-CN"/>
        </w:rPr>
        <w:t>技术要求：</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1.屏幕具有投</w:t>
      </w:r>
      <w:r>
        <w:rPr>
          <w:rFonts w:hint="eastAsia" w:ascii="宋体" w:hAnsi="宋体" w:eastAsia="宋体" w:cs="宋体"/>
          <w:color w:val="000000"/>
          <w:kern w:val="0"/>
          <w:lang w:eastAsia="zh-CN"/>
        </w:rPr>
        <w:t>屏</w:t>
      </w:r>
      <w:r>
        <w:rPr>
          <w:rFonts w:hint="eastAsia" w:ascii="宋体" w:hAnsi="宋体" w:eastAsia="宋体" w:cs="宋体"/>
          <w:color w:val="000000"/>
          <w:kern w:val="0"/>
          <w:lang w:val="en-US" w:eastAsia="zh-CN"/>
        </w:rPr>
        <w:t>功能，便于教学；中英文操作界面，可切换。</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2.具有有创常频通气模式。</w:t>
      </w:r>
    </w:p>
    <w:p>
      <w:pPr>
        <w:spacing w:line="360" w:lineRule="exact"/>
        <w:rPr>
          <w:rFonts w:hint="default"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3.无创通气模式有至少以下两个及以上：NCPAP、NIPPV、无创高频、经鼻高流量通气。</w:t>
      </w:r>
    </w:p>
    <w:p>
      <w:p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4.最小潮气量2ml。</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5.可适用于≤2kg的新生儿以及儿童专用。</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6.监测参数包含平台压力、呼气末正压、最大吸气流量、平均气道压力、吸入潮气量、呼出潮气量、潮气量、氧浓度监测等。</w:t>
      </w:r>
    </w:p>
    <w:p>
      <w:pPr>
        <w:spacing w:line="360" w:lineRule="exact"/>
        <w:rPr>
          <w:rFonts w:hint="eastAsia" w:ascii="宋体" w:hAnsi="宋体" w:eastAsia="宋体" w:cs="宋体"/>
          <w:color w:val="000000"/>
          <w:kern w:val="0"/>
          <w:lang w:val="en-US" w:eastAsia="zh-CN"/>
        </w:rPr>
      </w:pPr>
      <w:r>
        <w:rPr>
          <w:rFonts w:hint="eastAsia" w:ascii="宋体" w:hAnsi="宋体" w:cs="宋体"/>
        </w:rPr>
        <w:t>▲</w:t>
      </w:r>
      <w:r>
        <w:rPr>
          <w:rFonts w:hint="eastAsia" w:ascii="宋体" w:hAnsi="宋体" w:eastAsia="宋体" w:cs="宋体"/>
          <w:color w:val="000000"/>
          <w:kern w:val="0"/>
          <w:lang w:val="en-US" w:eastAsia="zh-CN"/>
        </w:rPr>
        <w:t>7.显示内容包含压力时间波形、流速时间波形、容量时间波形等。</w:t>
      </w:r>
    </w:p>
    <w:p>
      <w:pPr>
        <w:numPr>
          <w:ilvl w:val="0"/>
          <w:numId w:val="2"/>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内置后备电池，可使用时间≥180分钟。</w:t>
      </w:r>
    </w:p>
    <w:p>
      <w:pPr>
        <w:numPr>
          <w:ilvl w:val="0"/>
          <w:numId w:val="0"/>
        </w:numPr>
        <w:spacing w:line="360" w:lineRule="exact"/>
        <w:rPr>
          <w:rFonts w:hint="eastAsia" w:ascii="宋体" w:hAnsi="宋体" w:eastAsia="宋体" w:cs="宋体"/>
          <w:b w:val="0"/>
          <w:bCs w:val="0"/>
          <w:color w:val="000000"/>
          <w:kern w:val="0"/>
          <w:sz w:val="21"/>
          <w:szCs w:val="22"/>
          <w:lang w:val="en-US" w:eastAsia="zh-CN" w:bidi="ar-SA"/>
        </w:rPr>
      </w:pPr>
      <w:r>
        <w:rPr>
          <w:rFonts w:hint="eastAsia" w:ascii="宋体" w:hAnsi="宋体" w:eastAsia="宋体" w:cs="宋体"/>
          <w:b w:val="0"/>
          <w:bCs w:val="0"/>
          <w:color w:val="000000"/>
          <w:kern w:val="0"/>
          <w:sz w:val="21"/>
          <w:szCs w:val="22"/>
          <w:lang w:val="en-US" w:eastAsia="zh-CN" w:bidi="ar-SA"/>
        </w:rPr>
        <w:t>9.配备管路：≥3套。</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ascii="宋体" w:hAnsi="宋体" w:eastAsia="宋体" w:cs="Segoe UI"/>
          <w:b/>
          <w:bCs/>
          <w:color w:val="333333"/>
          <w:kern w:val="0"/>
          <w:sz w:val="28"/>
          <w:szCs w:val="28"/>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8"/>
        <w:gridCol w:w="1203"/>
        <w:gridCol w:w="730"/>
        <w:gridCol w:w="578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56</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8</w:t>
            </w:r>
            <w:r>
              <w:rPr>
                <w:rFonts w:hint="eastAsia" w:ascii="宋体" w:hAnsi="宋体" w:cs="宋体"/>
              </w:rPr>
              <w:t>分，一般条款负偏离一项扣</w:t>
            </w:r>
            <w:r>
              <w:rPr>
                <w:rFonts w:hint="eastAsia" w:ascii="宋体" w:hAnsi="宋体" w:cs="宋体"/>
                <w:lang w:val="en-US" w:eastAsia="zh-CN"/>
              </w:rPr>
              <w:t>4</w:t>
            </w:r>
            <w:r>
              <w:rPr>
                <w:rFonts w:hint="eastAsia" w:ascii="宋体" w:hAnsi="宋体" w:cs="宋体"/>
              </w:rPr>
              <w:t>分，扣完为止。（▲号条款共</w:t>
            </w:r>
            <w:r>
              <w:rPr>
                <w:rFonts w:hint="eastAsia" w:ascii="宋体" w:hAnsi="宋体" w:cs="宋体"/>
                <w:lang w:val="en-US" w:eastAsia="zh-CN"/>
              </w:rPr>
              <w:t>5</w:t>
            </w:r>
            <w:r>
              <w:rPr>
                <w:rFonts w:hint="eastAsia" w:ascii="宋体" w:hAnsi="宋体" w:cs="宋体"/>
              </w:rPr>
              <w:t>项，一般条款共</w:t>
            </w:r>
            <w:r>
              <w:rPr>
                <w:rFonts w:hint="eastAsia" w:ascii="宋体" w:hAnsi="宋体" w:cs="宋体"/>
                <w:lang w:val="en-US" w:eastAsia="zh-CN"/>
              </w:rPr>
              <w:t>4</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56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34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cs="宋体"/>
                <w:lang w:val="en-US" w:eastAsia="zh-CN"/>
              </w:rPr>
            </w:pPr>
            <w:r>
              <w:rPr>
                <w:rFonts w:hint="eastAsia" w:ascii="宋体" w:hAnsi="宋体" w:eastAsia="宋体" w:cs="宋体"/>
                <w:lang w:val="en-US" w:eastAsia="zh-CN"/>
              </w:rPr>
              <w:t>6</w:t>
            </w:r>
          </w:p>
        </w:tc>
        <w:tc>
          <w:tcPr>
            <w:tcW w:w="272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hint="eastAsia"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rPr>
            </w:pPr>
            <w:r>
              <w:rPr>
                <w:rFonts w:hint="eastAsia" w:ascii="宋体" w:hAnsi="宋体" w:cs="宋体"/>
                <w:lang w:val="en-US" w:eastAsia="zh-CN"/>
              </w:rPr>
              <w:t>8</w:t>
            </w:r>
          </w:p>
        </w:tc>
        <w:tc>
          <w:tcPr>
            <w:tcW w:w="57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p>
    <w:p>
      <w:pPr>
        <w:pStyle w:val="2"/>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D686D"/>
    <w:multiLevelType w:val="singleLevel"/>
    <w:tmpl w:val="B23D686D"/>
    <w:lvl w:ilvl="0" w:tentative="0">
      <w:start w:val="2"/>
      <w:numFmt w:val="chineseCounting"/>
      <w:suff w:val="nothing"/>
      <w:lvlText w:val="%1、"/>
      <w:lvlJc w:val="left"/>
      <w:rPr>
        <w:rFonts w:hint="eastAsia"/>
      </w:rPr>
    </w:lvl>
  </w:abstractNum>
  <w:abstractNum w:abstractNumId="1">
    <w:nsid w:val="C9FC921D"/>
    <w:multiLevelType w:val="singleLevel"/>
    <w:tmpl w:val="C9FC921D"/>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0C69586C"/>
    <w:rsid w:val="0EB033E5"/>
    <w:rsid w:val="15B626DC"/>
    <w:rsid w:val="17E0197B"/>
    <w:rsid w:val="18B93B85"/>
    <w:rsid w:val="1A3C509C"/>
    <w:rsid w:val="1A707F41"/>
    <w:rsid w:val="1D7B49FD"/>
    <w:rsid w:val="1DE05766"/>
    <w:rsid w:val="1E997E27"/>
    <w:rsid w:val="22827069"/>
    <w:rsid w:val="25933A00"/>
    <w:rsid w:val="31FB7325"/>
    <w:rsid w:val="351D2E6B"/>
    <w:rsid w:val="35E40AE0"/>
    <w:rsid w:val="368F2498"/>
    <w:rsid w:val="395149AF"/>
    <w:rsid w:val="39CE1F6A"/>
    <w:rsid w:val="3DA970F6"/>
    <w:rsid w:val="3DE462AE"/>
    <w:rsid w:val="49A664ED"/>
    <w:rsid w:val="4B671727"/>
    <w:rsid w:val="4F954CC0"/>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2023-11-21T09:19:00Z</cp:lastPrinted>
  <dcterms:modified xsi:type="dcterms:W3CDTF">2023-11-24T08:50:14Z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