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“人工乳房植入体”院内采购会议公告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人工乳房植入体”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3.1本次采购拟采用竞争性磋商方式，评审小组成员由医学装备部及相关科室共5名人员组成。根据供应商制作的《采购报价文件》(一式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w:t>
      </w:r>
      <w:r>
        <w:rPr>
          <w:rFonts w:hint="eastAsia" w:ascii="仿宋" w:hAnsi="仿宋" w:eastAsia="仿宋"/>
          <w:color w:val="000000" w:themeColor="text1"/>
          <w:sz w:val="32"/>
          <w:lang w:val="en-US" w:eastAsia="zh-CN"/>
        </w:rPr>
        <w:t>如经办人非法人</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13</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2023年1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2023年1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w:t>
      </w:r>
      <w:r>
        <w:rPr>
          <w:rFonts w:hint="eastAsia" w:ascii="仿宋" w:hAnsi="仿宋" w:eastAsia="仿宋"/>
          <w:color w:val="000000" w:themeColor="text1"/>
          <w:sz w:val="32"/>
          <w:lang w:val="en-US" w:eastAsia="zh-CN"/>
        </w:rPr>
        <w:t>人工乳房植入体</w:t>
      </w:r>
      <w:r>
        <w:rPr>
          <w:rFonts w:hint="eastAsia" w:ascii="仿宋" w:hAnsi="仿宋" w:eastAsia="仿宋"/>
          <w:color w:val="000000" w:themeColor="text1"/>
          <w:sz w:val="32"/>
        </w:rPr>
        <w:t>”内容、要求（见附件）及报价表的解释权归医学装备部，联系人：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13</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钮</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人工乳房植入体</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w:t>
      </w:r>
      <w:bookmarkStart w:id="0" w:name="_GoBack"/>
      <w:bookmarkEnd w:id="0"/>
      <w:r>
        <w:rPr>
          <w:rFonts w:hint="eastAsia" w:ascii="仿宋" w:hAnsi="仿宋" w:eastAsia="仿宋" w:cs="宋体"/>
          <w:color w:val="000000" w:themeColor="text1"/>
          <w:kern w:val="0"/>
          <w:sz w:val="32"/>
          <w:szCs w:val="24"/>
        </w:rPr>
        <w:t>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A962EE8"/>
    <w:rsid w:val="1C1D606B"/>
    <w:rsid w:val="1CE91A2A"/>
    <w:rsid w:val="1FAD4413"/>
    <w:rsid w:val="208D5788"/>
    <w:rsid w:val="264A7E67"/>
    <w:rsid w:val="265F060B"/>
    <w:rsid w:val="26BC323A"/>
    <w:rsid w:val="27D67BDB"/>
    <w:rsid w:val="2C990F81"/>
    <w:rsid w:val="2EDB7904"/>
    <w:rsid w:val="2FAF4842"/>
    <w:rsid w:val="3A262BA6"/>
    <w:rsid w:val="3E1C0C25"/>
    <w:rsid w:val="3FAF7BE6"/>
    <w:rsid w:val="448A7E0D"/>
    <w:rsid w:val="51015809"/>
    <w:rsid w:val="51596D77"/>
    <w:rsid w:val="532C538C"/>
    <w:rsid w:val="55CF1C73"/>
    <w:rsid w:val="562C38DA"/>
    <w:rsid w:val="5905059B"/>
    <w:rsid w:val="5D0B08B8"/>
    <w:rsid w:val="5D754A86"/>
    <w:rsid w:val="5F4A245A"/>
    <w:rsid w:val="5FE20D8F"/>
    <w:rsid w:val="66690BE6"/>
    <w:rsid w:val="69DB1BC4"/>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15</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2023-12-06T03:18:43Z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