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ascii="宋体" w:hAnsi="宋体" w:eastAsia="宋体" w:cs="仿宋"/>
          <w:sz w:val="24"/>
          <w:szCs w:val="24"/>
        </w:rPr>
        <w:t>★</w:t>
      </w:r>
      <w:r>
        <w:rPr>
          <w:rFonts w:hint="eastAsia" w:ascii="宋体" w:hAnsi="宋体" w:eastAsia="宋体" w:cs="仿宋"/>
          <w:bCs w:val="0"/>
          <w:sz w:val="24"/>
          <w:szCs w:val="24"/>
        </w:rPr>
        <w:t>”符号的条款为本项目的重要参数条款，未标识符号的条款为一般参数条款。</w:t>
      </w:r>
    </w:p>
    <w:p>
      <w:pPr>
        <w:pStyle w:val="3"/>
        <w:numPr>
          <w:ilvl w:val="0"/>
          <w:numId w:val="1"/>
        </w:numPr>
        <w:shd w:val="clear"/>
        <w:spacing w:after="0" w:line="360" w:lineRule="auto"/>
        <w:ind w:firstLine="236"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采购项目编号：SCFY-YXZB202311-019（磋）</w:t>
      </w:r>
    </w:p>
    <w:p>
      <w:pPr>
        <w:pStyle w:val="3"/>
        <w:numPr>
          <w:ilvl w:val="0"/>
          <w:numId w:val="1"/>
        </w:numPr>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年度采购</w:t>
      </w:r>
      <w:r>
        <w:rPr>
          <w:rFonts w:hint="eastAsia" w:ascii="宋体" w:hAnsi="宋体" w:eastAsia="宋体" w:cs="仿宋"/>
          <w:sz w:val="24"/>
          <w:szCs w:val="24"/>
        </w:rPr>
        <w:t>预算：</w:t>
      </w:r>
      <w:r>
        <w:rPr>
          <w:rFonts w:hint="eastAsia" w:ascii="宋体" w:hAnsi="宋体" w:eastAsia="宋体" w:cs="仿宋"/>
          <w:sz w:val="24"/>
          <w:szCs w:val="24"/>
          <w:lang w:val="en-US" w:eastAsia="zh-CN"/>
        </w:rPr>
        <w:t>9</w:t>
      </w:r>
      <w:r>
        <w:rPr>
          <w:rFonts w:hint="eastAsia" w:ascii="宋体" w:hAnsi="宋体" w:eastAsia="宋体" w:cs="仿宋"/>
          <w:sz w:val="24"/>
          <w:szCs w:val="24"/>
        </w:rPr>
        <w:t>万元</w:t>
      </w:r>
      <w:r>
        <w:rPr>
          <w:rFonts w:hint="eastAsia" w:ascii="宋体" w:hAnsi="宋体" w:eastAsia="宋体" w:cs="仿宋"/>
          <w:sz w:val="24"/>
          <w:szCs w:val="24"/>
          <w:lang w:val="en-US" w:eastAsia="zh-CN"/>
        </w:rPr>
        <w:t>/年</w:t>
      </w:r>
    </w:p>
    <w:bookmarkEnd w:id="0"/>
    <w:p>
      <w:pPr>
        <w:pStyle w:val="3"/>
        <w:numPr>
          <w:ilvl w:val="0"/>
          <w:numId w:val="1"/>
        </w:numPr>
        <w:shd w:val="clear"/>
        <w:spacing w:after="0" w:line="360" w:lineRule="auto"/>
        <w:ind w:left="0" w:leftChars="0" w:firstLine="236" w:firstLineChars="98"/>
        <w:rPr>
          <w:rFonts w:hint="eastAsia" w:ascii="宋体" w:hAnsi="宋体" w:eastAsia="宋体" w:cs="仿宋"/>
          <w:sz w:val="24"/>
          <w:szCs w:val="24"/>
        </w:rPr>
      </w:pPr>
      <w:bookmarkStart w:id="1" w:name="_Toc217446095"/>
      <w:r>
        <w:rPr>
          <w:rFonts w:hint="eastAsia" w:ascii="宋体" w:hAnsi="宋体" w:eastAsia="宋体" w:cs="仿宋"/>
          <w:sz w:val="24"/>
          <w:szCs w:val="24"/>
        </w:rPr>
        <w:t>项目清单及技术要求：</w:t>
      </w:r>
    </w:p>
    <w:tbl>
      <w:tblPr>
        <w:tblStyle w:val="12"/>
        <w:tblW w:w="504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984"/>
        <w:gridCol w:w="984"/>
        <w:gridCol w:w="904"/>
        <w:gridCol w:w="6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trPr>
        <w:tc>
          <w:tcPr>
            <w:tcW w:w="340"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489"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489"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449" w:type="pct"/>
            <w:noWrap w:val="0"/>
            <w:vAlign w:val="center"/>
          </w:tcPr>
          <w:p>
            <w:pPr>
              <w:autoSpaceDE w:val="0"/>
              <w:autoSpaceDN w:val="0"/>
              <w:jc w:val="center"/>
              <w:rPr>
                <w:rFonts w:ascii="宋体" w:hAnsi="宋体"/>
                <w:b/>
                <w:sz w:val="18"/>
                <w:szCs w:val="18"/>
              </w:rPr>
            </w:pPr>
            <w:r>
              <w:rPr>
                <w:rFonts w:hint="eastAsia" w:ascii="宋体" w:hAnsi="宋体"/>
                <w:b/>
                <w:sz w:val="18"/>
                <w:szCs w:val="18"/>
              </w:rPr>
              <w:t>预估年</w:t>
            </w:r>
            <w:r>
              <w:rPr>
                <w:rFonts w:hint="eastAsia" w:ascii="宋体" w:hAnsi="宋体"/>
                <w:b/>
                <w:sz w:val="18"/>
                <w:szCs w:val="18"/>
                <w:lang w:val="en-US" w:eastAsia="zh-CN"/>
              </w:rPr>
              <w:t>度用</w:t>
            </w:r>
            <w:r>
              <w:rPr>
                <w:rFonts w:hint="eastAsia" w:ascii="宋体" w:hAnsi="宋体"/>
                <w:b/>
                <w:sz w:val="18"/>
                <w:szCs w:val="18"/>
              </w:rPr>
              <w:t>量</w:t>
            </w:r>
          </w:p>
        </w:tc>
        <w:tc>
          <w:tcPr>
            <w:tcW w:w="3231"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trPr>
        <w:tc>
          <w:tcPr>
            <w:tcW w:w="340"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1</w:t>
            </w:r>
          </w:p>
        </w:tc>
        <w:tc>
          <w:tcPr>
            <w:tcW w:w="489"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一体式封堵器介入输送装置</w:t>
            </w:r>
          </w:p>
        </w:tc>
        <w:tc>
          <w:tcPr>
            <w:tcW w:w="48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6000元</w:t>
            </w:r>
          </w:p>
        </w:tc>
        <w:tc>
          <w:tcPr>
            <w:tcW w:w="449"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15根</w:t>
            </w:r>
          </w:p>
        </w:tc>
        <w:tc>
          <w:tcPr>
            <w:tcW w:w="3231" w:type="pct"/>
            <w:noWrap w:val="0"/>
            <w:vAlign w:val="top"/>
          </w:tcPr>
          <w:p>
            <w:pPr>
              <w:rPr>
                <w:rFonts w:hint="eastAsia"/>
                <w:lang w:val="en-US" w:eastAsia="zh-CN"/>
              </w:rPr>
            </w:pPr>
            <w:r>
              <w:rPr>
                <w:rFonts w:hint="eastAsia"/>
                <w:lang w:val="en-US" w:eastAsia="zh-CN"/>
              </w:rPr>
              <w:t>用途：用于输送房间隔缺损、室间隔缺损、动脉导管未闭封堵器的装置。</w:t>
            </w:r>
          </w:p>
          <w:p>
            <w:pPr>
              <w:pStyle w:val="2"/>
              <w:rPr>
                <w:rFonts w:hint="default"/>
                <w:lang w:val="en-US" w:eastAsia="zh-CN"/>
              </w:rPr>
            </w:pPr>
            <w:r>
              <w:rPr>
                <w:rFonts w:hint="eastAsia" w:ascii="Times New Roman" w:hAnsi="Times New Roman" w:eastAsia="宋体" w:cs="Times New Roman"/>
              </w:rPr>
              <w:t>▲</w:t>
            </w:r>
            <w:r>
              <w:rPr>
                <w:rFonts w:hint="eastAsia" w:cs="Times New Roman"/>
                <w:lang w:val="en-US" w:eastAsia="zh-CN"/>
              </w:rPr>
              <w:t>1.封堵器介入</w:t>
            </w:r>
            <w:r>
              <w:rPr>
                <w:rFonts w:hint="eastAsia"/>
                <w:lang w:val="en-US" w:eastAsia="zh-CN"/>
              </w:rPr>
              <w:t>输送装置为一体式（以注册证产品名称为准）。</w:t>
            </w:r>
          </w:p>
          <w:p>
            <w:pPr>
              <w:rPr>
                <w:rFonts w:hint="default"/>
                <w:lang w:val="en-US" w:eastAsia="zh-CN"/>
              </w:rPr>
            </w:pPr>
            <w:r>
              <w:rPr>
                <w:rFonts w:hint="eastAsia"/>
                <w:lang w:val="en-US" w:eastAsia="zh-CN"/>
              </w:rPr>
              <w:t>*2.有输送房间隔缺损、室间隔缺损、动脉导管未闭封堵器等各组型号满足治疗（提供各型号报价）。</w:t>
            </w:r>
          </w:p>
          <w:p>
            <w:pPr>
              <w:rPr>
                <w:rFonts w:hint="default"/>
                <w:lang w:val="en-US" w:eastAsia="zh-CN"/>
              </w:rPr>
            </w:pPr>
            <w:r>
              <w:rPr>
                <w:rFonts w:hint="eastAsia"/>
                <w:lang w:val="en-US" w:eastAsia="zh-CN"/>
              </w:rPr>
              <w:t>3.环氧乙烷灭菌，一次性使用。</w:t>
            </w:r>
          </w:p>
          <w:p>
            <w:pPr>
              <w:rPr>
                <w:rFonts w:hint="default"/>
                <w:lang w:val="en-US" w:eastAsia="zh-CN"/>
              </w:rPr>
            </w:pPr>
            <w:r>
              <w:rPr>
                <w:rFonts w:hint="eastAsia"/>
                <w:lang w:val="en-US" w:eastAsia="zh-CN"/>
              </w:rPr>
              <w:t>4.由外套管、扩张管、装载器、推送器组成。</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rPr>
          <w:rFonts w:hint="eastAsia" w:ascii="Times New Roman" w:hAnsi="Times New Roman" w:eastAsia="宋体" w:cs="Times New Roman"/>
          <w:lang w:eastAsia="zh-CN"/>
        </w:rPr>
      </w:pPr>
      <w:r>
        <w:rPr>
          <w:rFonts w:hint="eastAsia" w:ascii="Times New Roman" w:hAnsi="Times New Roman" w:eastAsia="宋体" w:cs="Times New Roman"/>
        </w:rPr>
        <w:t>▲1.供应商投标产品</w:t>
      </w:r>
      <w:r>
        <w:rPr>
          <w:rFonts w:hint="eastAsia" w:ascii="Times New Roman" w:hAnsi="Times New Roman" w:eastAsia="宋体" w:cs="Times New Roman"/>
          <w:lang w:eastAsia="zh-CN"/>
        </w:rPr>
        <w:t>若为Ⅱ、Ⅲ类医疗器械</w:t>
      </w:r>
      <w:r>
        <w:rPr>
          <w:rFonts w:hint="eastAsia" w:ascii="Times New Roman" w:hAnsi="Times New Roman" w:eastAsia="宋体" w:cs="Times New Roman"/>
          <w:lang w:val="en-US" w:eastAsia="zh-CN"/>
        </w:rPr>
        <w:t>和具有医疗器械注册证或备案凭证的体外诊断试剂</w:t>
      </w:r>
      <w:r>
        <w:rPr>
          <w:rFonts w:hint="eastAsia" w:ascii="Times New Roman" w:hAnsi="Times New Roman" w:eastAsia="宋体" w:cs="Times New Roman"/>
          <w:lang w:eastAsia="zh-CN"/>
        </w:rPr>
        <w:t>，则</w:t>
      </w:r>
      <w:r>
        <w:rPr>
          <w:rFonts w:hint="eastAsia" w:ascii="Times New Roman" w:hAnsi="Times New Roman" w:eastAsia="宋体" w:cs="Times New Roman"/>
        </w:rPr>
        <w:t>必须为四川省药械集中采购及医药价格监管平台挂网公示产品,并提供挂网商品代码（</w:t>
      </w:r>
      <w:r>
        <w:rPr>
          <w:rFonts w:hint="eastAsia" w:ascii="Times New Roman" w:hAnsi="Times New Roman" w:eastAsia="宋体" w:cs="Times New Roman"/>
          <w:b/>
          <w:bCs/>
        </w:rPr>
        <w:t>已经挂网的需要提供集采平台挂网截图</w:t>
      </w:r>
      <w:r>
        <w:rPr>
          <w:rFonts w:hint="eastAsia" w:ascii="Times New Roman" w:hAnsi="Times New Roman" w:eastAsia="宋体" w:cs="Times New Roman"/>
        </w:rPr>
        <w:t>）</w:t>
      </w:r>
      <w:r>
        <w:rPr>
          <w:rFonts w:hint="eastAsia" w:ascii="Times New Roman" w:hAnsi="Times New Roman" w:eastAsia="宋体" w:cs="Times New Roman"/>
          <w:lang w:eastAsia="zh-CN"/>
        </w:rPr>
        <w:t>。</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2</w:t>
      </w:r>
      <w:r>
        <w:rPr>
          <w:rFonts w:hint="eastAsia" w:ascii="Times New Roman" w:hAnsi="Times New Roman" w:eastAsia="宋体" w:cs="Times New Roman"/>
        </w:rPr>
        <w:t>.供货期限：3年，采购数量以实际使用量为准。</w:t>
      </w:r>
    </w:p>
    <w:p>
      <w:pPr>
        <w:pStyle w:val="2"/>
        <w:rPr>
          <w:rFonts w:hint="eastAsia" w:ascii="Times New Roman" w:hAnsi="Times New Roman" w:eastAsia="宋体" w:cs="Times New Roman"/>
        </w:rPr>
      </w:pPr>
      <w:r>
        <w:rPr>
          <w:rFonts w:hint="eastAsia" w:ascii="Times New Roman" w:hAnsi="Times New Roman" w:eastAsia="宋体" w:cs="Times New Roman"/>
        </w:rPr>
        <w:t>▲</w:t>
      </w:r>
      <w:r>
        <w:rPr>
          <w:rFonts w:hint="eastAsia" w:ascii="Times New Roman" w:hAnsi="Times New Roman" w:eastAsia="宋体" w:cs="Times New Roman"/>
          <w:lang w:val="en-US" w:eastAsia="zh-CN"/>
        </w:rPr>
        <w:t>3</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供应商的“投标总价”仅做为报价评审依据，最终根据实际需求进行相应调整，结算以实际发生量乘以供应商</w:t>
      </w:r>
      <w:r>
        <w:rPr>
          <w:rFonts w:hint="eastAsia" w:ascii="Times New Roman" w:hAnsi="Times New Roman" w:eastAsia="宋体" w:cs="Times New Roman"/>
          <w:lang w:val="en-US" w:eastAsia="zh-CN"/>
        </w:rPr>
        <w:t>挂网单价（未挂网按</w:t>
      </w:r>
      <w:r>
        <w:rPr>
          <w:rFonts w:hint="eastAsia" w:ascii="Times New Roman" w:hAnsi="Times New Roman" w:eastAsia="宋体" w:cs="Times New Roman"/>
        </w:rPr>
        <w:t>投标单价</w:t>
      </w:r>
      <w:r>
        <w:rPr>
          <w:rFonts w:hint="eastAsia" w:ascii="Times New Roman" w:hAnsi="Times New Roman" w:eastAsia="宋体" w:cs="Times New Roman"/>
          <w:lang w:val="en-US" w:eastAsia="zh-CN"/>
        </w:rPr>
        <w:t>）</w:t>
      </w:r>
      <w:r>
        <w:rPr>
          <w:rFonts w:hint="eastAsia" w:ascii="Times New Roman" w:hAnsi="Times New Roman" w:eastAsia="宋体" w:cs="Times New Roman"/>
        </w:rPr>
        <w:t>结算，且</w:t>
      </w:r>
      <w:r>
        <w:rPr>
          <w:rFonts w:hint="eastAsia" w:ascii="Times New Roman" w:hAnsi="Times New Roman" w:eastAsia="宋体" w:cs="Times New Roman"/>
          <w:lang w:val="en-US" w:eastAsia="zh-CN"/>
        </w:rPr>
        <w:t>每年实际结算</w:t>
      </w:r>
      <w:r>
        <w:rPr>
          <w:rFonts w:hint="eastAsia" w:ascii="Times New Roman" w:hAnsi="Times New Roman" w:eastAsia="宋体" w:cs="Times New Roman"/>
        </w:rPr>
        <w:t>不超过</w:t>
      </w:r>
      <w:r>
        <w:rPr>
          <w:rFonts w:hint="eastAsia" w:ascii="Times New Roman" w:hAnsi="Times New Roman" w:eastAsia="宋体" w:cs="Times New Roman"/>
          <w:lang w:val="en-US" w:eastAsia="zh-CN"/>
        </w:rPr>
        <w:t>投标</w:t>
      </w:r>
      <w:r>
        <w:rPr>
          <w:rFonts w:hint="eastAsia" w:ascii="Times New Roman" w:hAnsi="Times New Roman" w:eastAsia="宋体" w:cs="Times New Roman"/>
        </w:rPr>
        <w:t>总</w:t>
      </w:r>
      <w:r>
        <w:rPr>
          <w:rFonts w:hint="eastAsia" w:ascii="Times New Roman" w:hAnsi="Times New Roman" w:eastAsia="宋体" w:cs="Times New Roman"/>
          <w:lang w:val="en-US" w:eastAsia="zh-CN"/>
        </w:rPr>
        <w:t>价</w:t>
      </w:r>
      <w:r>
        <w:rPr>
          <w:rFonts w:hint="eastAsia" w:ascii="Times New Roman" w:hAnsi="Times New Roman" w:eastAsia="宋体" w:cs="Times New Roman"/>
        </w:rPr>
        <w:t>。</w:t>
      </w:r>
    </w:p>
    <w:p>
      <w:pPr>
        <w:rPr>
          <w:rFonts w:hint="eastAsia" w:ascii="Times New Roman" w:hAnsi="Times New Roman" w:eastAsia="宋体" w:cs="Times New Roman"/>
          <w:b w:val="0"/>
          <w:bCs w:val="0"/>
          <w:kern w:val="2"/>
          <w:sz w:val="21"/>
          <w:szCs w:val="22"/>
        </w:rPr>
      </w:pPr>
      <w:r>
        <w:rPr>
          <w:rFonts w:hint="eastAsia" w:ascii="Times New Roman" w:hAnsi="Times New Roman" w:eastAsia="宋体" w:cs="Times New Roman"/>
          <w:b w:val="0"/>
          <w:bCs w:val="0"/>
          <w:kern w:val="2"/>
          <w:sz w:val="21"/>
          <w:szCs w:val="22"/>
        </w:rPr>
        <w:br w:type="page"/>
      </w: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140"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
        <w:gridCol w:w="972"/>
        <w:gridCol w:w="555"/>
        <w:gridCol w:w="4396"/>
        <w:gridCol w:w="3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right"/>
        </w:trPr>
        <w:tc>
          <w:tcPr>
            <w:tcW w:w="205"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474"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270"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214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903"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right"/>
        </w:trPr>
        <w:tc>
          <w:tcPr>
            <w:tcW w:w="205"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474"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270"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2146"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1903" w:type="pct"/>
            <w:noWrap w:val="0"/>
            <w:vAlign w:val="center"/>
          </w:tcPr>
          <w:p>
            <w:pPr>
              <w:widowControl/>
              <w:numPr>
                <w:ilvl w:val="0"/>
                <w:numId w:val="2"/>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2"/>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337" w:hRule="atLeast"/>
          <w:jc w:val="right"/>
        </w:trPr>
        <w:tc>
          <w:tcPr>
            <w:tcW w:w="205"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474"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270"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40</w:t>
            </w:r>
          </w:p>
        </w:tc>
        <w:tc>
          <w:tcPr>
            <w:tcW w:w="2146"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分；“*”条款技术参数不满足招标文件要求（负偏离），一次扣</w:t>
            </w:r>
            <w:r>
              <w:rPr>
                <w:rFonts w:hint="eastAsia" w:ascii="宋体" w:hAnsi="宋体" w:cs="宋体"/>
                <w:color w:val="auto"/>
                <w:kern w:val="0"/>
                <w:sz w:val="18"/>
                <w:szCs w:val="18"/>
                <w:lang w:val="en-US" w:eastAsia="zh-CN"/>
              </w:rPr>
              <w:t>20</w:t>
            </w:r>
            <w:r>
              <w:rPr>
                <w:rFonts w:hint="eastAsia" w:ascii="宋体" w:hAnsi="宋体" w:cs="宋体"/>
                <w:color w:val="auto"/>
                <w:kern w:val="0"/>
                <w:sz w:val="18"/>
                <w:szCs w:val="18"/>
              </w:rPr>
              <w:t>分</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非“*”条款技术参数不满足招标文件要求（负偏离），一次扣</w:t>
            </w:r>
            <w:r>
              <w:rPr>
                <w:rFonts w:hint="eastAsia" w:ascii="宋体" w:hAnsi="宋体" w:cs="宋体"/>
                <w:color w:val="auto"/>
                <w:kern w:val="0"/>
                <w:sz w:val="18"/>
                <w:szCs w:val="18"/>
                <w:lang w:val="en-US" w:eastAsia="zh-CN"/>
              </w:rPr>
              <w:t>10</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1903" w:type="pct"/>
            <w:noWrap w:val="0"/>
            <w:vAlign w:val="center"/>
          </w:tcPr>
          <w:p>
            <w:pPr>
              <w:widowControl/>
              <w:wordWrap w:val="0"/>
              <w:spacing w:line="270" w:lineRule="atLeast"/>
              <w:jc w:val="left"/>
              <w:rPr>
                <w:rFonts w:hint="eastAsia" w:ascii="宋体" w:hAnsi="宋体" w:cs="Segoe UI"/>
                <w:kern w:val="0"/>
                <w:sz w:val="18"/>
                <w:szCs w:val="18"/>
              </w:rPr>
            </w:pPr>
            <w:r>
              <w:rPr>
                <w:rFonts w:hint="eastAsia" w:ascii="宋体" w:hAnsi="宋体" w:cs="Segoe UI"/>
                <w:kern w:val="0"/>
                <w:sz w:val="18"/>
                <w:szCs w:val="18"/>
              </w:rPr>
              <w:t> “*”条款技术参数供应商须提供技术支撑材料，并在技术响应表中备注技术支撑材料的页码位置，便于快速查阅验证：</w:t>
            </w:r>
          </w:p>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1.国家相关主管部门出具的的技术支持材料，如说明书、注册证、检测报告等；2.技术支持材料，须加盖响应产品制造厂家的印章，或加盖响应产品生产厂家驻中国境内合法直属机构印章，或响应产品生产厂商直接授权的代理商的印章；3.如果没有按照以上要求提供技术支持资料的，该条技术参数在评审中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01" w:hRule="atLeast"/>
          <w:jc w:val="right"/>
        </w:trPr>
        <w:tc>
          <w:tcPr>
            <w:tcW w:w="205"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474"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270"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p>
        </w:tc>
        <w:tc>
          <w:tcPr>
            <w:tcW w:w="2146"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1903"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75" w:hRule="atLeast"/>
          <w:jc w:val="right"/>
        </w:trPr>
        <w:tc>
          <w:tcPr>
            <w:tcW w:w="205"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474"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270"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10</w:t>
            </w:r>
          </w:p>
        </w:tc>
        <w:tc>
          <w:tcPr>
            <w:tcW w:w="2146"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20</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1903"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1166" w:hRule="atLeast"/>
          <w:jc w:val="right"/>
        </w:trPr>
        <w:tc>
          <w:tcPr>
            <w:tcW w:w="205"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474"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270"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2146"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1903" w:type="pct"/>
            <w:noWrap w:val="0"/>
            <w:vAlign w:val="center"/>
          </w:tcPr>
          <w:p>
            <w:pPr>
              <w:wordWrap w:val="0"/>
              <w:jc w:val="left"/>
              <w:rPr>
                <w:rFonts w:ascii="宋体" w:hAnsi="宋体" w:cs="Segoe UI"/>
                <w:color w:val="000000"/>
                <w:kern w:val="0"/>
                <w:sz w:val="18"/>
                <w:szCs w:val="18"/>
                <w:lang w:val="en-US" w:eastAsia="zh-CN" w:bidi="ar-SA"/>
              </w:rPr>
            </w:pPr>
          </w:p>
        </w:tc>
      </w:tr>
    </w:tbl>
    <w:p>
      <w:pPr>
        <w:pStyle w:val="2"/>
        <w:rPr>
          <w:rFonts w:hint="eastAsia"/>
        </w:rPr>
      </w:pPr>
    </w:p>
    <w:p>
      <w:pPr>
        <w:pStyle w:val="2"/>
        <w:shd w:val="clear"/>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w:t>
      </w:r>
      <w:r>
        <w:rPr>
          <w:rFonts w:hint="eastAsia" w:ascii="仿宋_GB2312" w:hAnsi="Segoe UI" w:eastAsia="仿宋_GB2312" w:cs="Segoe UI"/>
          <w:color w:val="000000" w:themeColor="text1"/>
          <w:kern w:val="0"/>
          <w:sz w:val="24"/>
          <w:szCs w:val="24"/>
          <w:lang w:val="en-US" w:eastAsia="zh-CN"/>
        </w:rPr>
        <w:t>6</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bookmarkStart w:id="135" w:name="_GoBack"/>
      <w:bookmarkEnd w:id="135"/>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3414"/>
      <w:bookmarkStart w:id="3" w:name="_Toc21163"/>
      <w:bookmarkStart w:id="4" w:name="_Toc15614"/>
      <w:bookmarkStart w:id="5" w:name="_Toc21676"/>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2490"/>
      <w:bookmarkStart w:id="8" w:name="_Toc30275"/>
      <w:bookmarkStart w:id="9" w:name="_Toc5208"/>
      <w:bookmarkStart w:id="10" w:name="_Toc5499"/>
      <w:bookmarkStart w:id="11" w:name="_Toc11076"/>
      <w:bookmarkStart w:id="12" w:name="_Toc14802"/>
      <w:bookmarkStart w:id="13" w:name="_Toc30494"/>
      <w:bookmarkStart w:id="14" w:name="_Toc60"/>
      <w:bookmarkStart w:id="15" w:name="_Toc1068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10183"/>
      <w:bookmarkStart w:id="17" w:name="_Toc3912"/>
      <w:bookmarkStart w:id="18" w:name="_Toc7067"/>
      <w:bookmarkStart w:id="19" w:name="_Toc32214"/>
      <w:bookmarkStart w:id="20" w:name="_Toc28103"/>
      <w:bookmarkStart w:id="21" w:name="_Toc30724"/>
      <w:bookmarkStart w:id="22" w:name="_Toc26481"/>
      <w:bookmarkStart w:id="23" w:name="_Toc9131"/>
      <w:bookmarkStart w:id="24" w:name="_Toc3081"/>
      <w:bookmarkStart w:id="25" w:name="_Toc13021"/>
      <w:bookmarkStart w:id="26" w:name="_Toc10948"/>
      <w:bookmarkStart w:id="27" w:name="_Toc18879"/>
      <w:bookmarkStart w:id="28" w:name="_Toc30080"/>
      <w:bookmarkStart w:id="29" w:name="_Toc3447"/>
      <w:bookmarkStart w:id="30" w:name="_Toc3392"/>
      <w:bookmarkStart w:id="31" w:name="_Toc19115"/>
      <w:bookmarkStart w:id="32" w:name="_Toc8717"/>
      <w:bookmarkStart w:id="33" w:name="_Toc18513"/>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0142"/>
      <w:bookmarkStart w:id="35" w:name="_Toc9042"/>
      <w:bookmarkStart w:id="36" w:name="_Toc30649"/>
      <w:bookmarkStart w:id="37" w:name="_Toc18259"/>
      <w:bookmarkStart w:id="38" w:name="_Toc7249"/>
      <w:bookmarkStart w:id="39" w:name="_Toc23645"/>
      <w:bookmarkStart w:id="40" w:name="_Toc22795"/>
      <w:bookmarkStart w:id="41" w:name="_Toc30920"/>
      <w:bookmarkStart w:id="42" w:name="_Toc15196"/>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30083"/>
      <w:bookmarkStart w:id="46" w:name="_Toc24117"/>
      <w:bookmarkStart w:id="47" w:name="_Toc21988"/>
      <w:bookmarkStart w:id="48" w:name="_Toc19600"/>
      <w:bookmarkStart w:id="49" w:name="_Toc3004"/>
      <w:bookmarkStart w:id="50" w:name="_Toc25516"/>
      <w:bookmarkStart w:id="51" w:name="_Toc4775"/>
      <w:bookmarkStart w:id="52" w:name="_Toc3534"/>
      <w:bookmarkStart w:id="53" w:name="_Toc26548"/>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3192"/>
      <w:bookmarkStart w:id="55" w:name="_Toc32166"/>
      <w:bookmarkStart w:id="56" w:name="_Toc14887"/>
      <w:bookmarkStart w:id="57" w:name="_Toc12333"/>
      <w:bookmarkStart w:id="58" w:name="_Toc691"/>
      <w:bookmarkStart w:id="59" w:name="_Toc22198"/>
      <w:bookmarkStart w:id="60" w:name="_Toc16764"/>
      <w:bookmarkStart w:id="61" w:name="_Toc21982"/>
      <w:bookmarkStart w:id="62" w:name="_Toc3494"/>
      <w:bookmarkStart w:id="63" w:name="_Toc16666"/>
      <w:bookmarkStart w:id="64" w:name="_Toc2737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5412"/>
      <w:bookmarkStart w:id="66" w:name="_Toc14269"/>
      <w:bookmarkStart w:id="67" w:name="_Toc11914"/>
      <w:bookmarkStart w:id="68" w:name="_Toc4577"/>
      <w:bookmarkStart w:id="69" w:name="_Toc22606"/>
      <w:bookmarkStart w:id="70" w:name="_Toc9263"/>
      <w:bookmarkStart w:id="71" w:name="_Toc3943"/>
      <w:bookmarkStart w:id="72" w:name="_Toc25068"/>
      <w:bookmarkStart w:id="73" w:name="_Toc1371"/>
      <w:bookmarkStart w:id="74" w:name="_Toc10013"/>
      <w:bookmarkStart w:id="75" w:name="_Toc31581"/>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3908"/>
      <w:bookmarkStart w:id="77" w:name="_Toc10600"/>
      <w:bookmarkStart w:id="78" w:name="_Toc13677"/>
      <w:bookmarkStart w:id="79" w:name="_Toc2316"/>
      <w:bookmarkStart w:id="80" w:name="_Toc31890"/>
      <w:bookmarkStart w:id="81" w:name="_Toc17108"/>
      <w:bookmarkStart w:id="82" w:name="_Toc13267"/>
      <w:bookmarkStart w:id="83" w:name="_Toc29190"/>
      <w:bookmarkStart w:id="84" w:name="_Toc18935"/>
      <w:bookmarkStart w:id="85" w:name="_Toc11489"/>
      <w:bookmarkStart w:id="86" w:name="_Toc293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21351"/>
      <w:bookmarkStart w:id="89" w:name="_Toc26756"/>
      <w:bookmarkStart w:id="90" w:name="_Toc24122"/>
      <w:bookmarkStart w:id="91" w:name="_Toc32365"/>
      <w:bookmarkStart w:id="92" w:name="_Toc31638"/>
      <w:bookmarkStart w:id="93" w:name="_Toc14252"/>
      <w:bookmarkStart w:id="94" w:name="_Toc1313"/>
      <w:bookmarkStart w:id="95" w:name="_Toc15916"/>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15083"/>
      <w:bookmarkStart w:id="98" w:name="_Toc22760"/>
      <w:bookmarkStart w:id="99" w:name="_Toc10583"/>
      <w:bookmarkStart w:id="100" w:name="_Toc26609"/>
      <w:bookmarkStart w:id="101" w:name="_Toc27985"/>
      <w:bookmarkStart w:id="102" w:name="_Toc15894"/>
      <w:bookmarkStart w:id="103" w:name="_Toc23212"/>
      <w:bookmarkStart w:id="104" w:name="_Toc9398"/>
      <w:bookmarkStart w:id="105" w:name="_Toc27948"/>
      <w:bookmarkStart w:id="106" w:name="_Toc18046"/>
      <w:bookmarkStart w:id="107" w:name="_Toc19589"/>
      <w:bookmarkStart w:id="108" w:name="_Toc11278"/>
      <w:bookmarkStart w:id="109" w:name="_Toc29215"/>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4116"/>
      <w:bookmarkStart w:id="111" w:name="_Toc24655"/>
      <w:bookmarkStart w:id="112" w:name="_Toc8940"/>
      <w:bookmarkStart w:id="113" w:name="_Toc8083"/>
      <w:bookmarkStart w:id="114" w:name="_Toc17741"/>
      <w:bookmarkStart w:id="115" w:name="_Toc14546"/>
      <w:bookmarkStart w:id="116" w:name="_Toc27767"/>
      <w:bookmarkStart w:id="117" w:name="_Toc8348"/>
      <w:bookmarkStart w:id="118" w:name="_Toc24107"/>
      <w:bookmarkStart w:id="119" w:name="_Toc17204"/>
      <w:bookmarkStart w:id="120" w:name="_Toc24671"/>
      <w:bookmarkStart w:id="121" w:name="_Toc29648"/>
      <w:bookmarkStart w:id="122" w:name="_Toc757"/>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8524"/>
      <w:bookmarkStart w:id="124" w:name="_Toc14781"/>
      <w:bookmarkStart w:id="125" w:name="_Toc24280"/>
      <w:bookmarkStart w:id="126" w:name="_Toc10950"/>
      <w:bookmarkStart w:id="127" w:name="_Toc10945"/>
      <w:bookmarkStart w:id="128" w:name="_Toc15917"/>
      <w:bookmarkStart w:id="129" w:name="_Toc12682"/>
      <w:bookmarkStart w:id="130" w:name="_Toc10308"/>
      <w:bookmarkStart w:id="131" w:name="_Toc2003"/>
      <w:bookmarkStart w:id="132" w:name="_Toc5840"/>
      <w:bookmarkStart w:id="133" w:name="_Toc22243"/>
      <w:bookmarkStart w:id="134" w:name="_Toc207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693"/>
        <w:gridCol w:w="970"/>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70"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69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51016291"/>
    <w:multiLevelType w:val="singleLevel"/>
    <w:tmpl w:val="5101629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7953CAB"/>
    <w:rsid w:val="07B925A7"/>
    <w:rsid w:val="0BF815CE"/>
    <w:rsid w:val="0C716207"/>
    <w:rsid w:val="0E911C5D"/>
    <w:rsid w:val="103C350A"/>
    <w:rsid w:val="10954EC2"/>
    <w:rsid w:val="12A81059"/>
    <w:rsid w:val="14456F80"/>
    <w:rsid w:val="195D2073"/>
    <w:rsid w:val="1A37043E"/>
    <w:rsid w:val="2262170C"/>
    <w:rsid w:val="228C2840"/>
    <w:rsid w:val="272816FC"/>
    <w:rsid w:val="28203DA9"/>
    <w:rsid w:val="2E8A7141"/>
    <w:rsid w:val="357C4381"/>
    <w:rsid w:val="364F4E7F"/>
    <w:rsid w:val="365344A5"/>
    <w:rsid w:val="396510AC"/>
    <w:rsid w:val="3B4C1295"/>
    <w:rsid w:val="3ED3727D"/>
    <w:rsid w:val="405F3E1B"/>
    <w:rsid w:val="41EE0E8D"/>
    <w:rsid w:val="44DA14CD"/>
    <w:rsid w:val="48983A5D"/>
    <w:rsid w:val="4AE36A9A"/>
    <w:rsid w:val="4B7A520A"/>
    <w:rsid w:val="4EE10A0C"/>
    <w:rsid w:val="51CB3FD0"/>
    <w:rsid w:val="54407E70"/>
    <w:rsid w:val="5536063D"/>
    <w:rsid w:val="55B75F0E"/>
    <w:rsid w:val="55F211D3"/>
    <w:rsid w:val="577B25E6"/>
    <w:rsid w:val="5C452678"/>
    <w:rsid w:val="5C7C0F06"/>
    <w:rsid w:val="5FEC0FA4"/>
    <w:rsid w:val="61DB5EE7"/>
    <w:rsid w:val="62FA0171"/>
    <w:rsid w:val="637366D0"/>
    <w:rsid w:val="63E72E68"/>
    <w:rsid w:val="64ED5044"/>
    <w:rsid w:val="65C660EF"/>
    <w:rsid w:val="65DA011F"/>
    <w:rsid w:val="66D20681"/>
    <w:rsid w:val="672843F4"/>
    <w:rsid w:val="6A052BEC"/>
    <w:rsid w:val="6A38583D"/>
    <w:rsid w:val="6C0F1984"/>
    <w:rsid w:val="6CF82393"/>
    <w:rsid w:val="701306BF"/>
    <w:rsid w:val="710D63F2"/>
    <w:rsid w:val="71D57369"/>
    <w:rsid w:val="75233D75"/>
    <w:rsid w:val="77490A08"/>
    <w:rsid w:val="78BA1DAC"/>
    <w:rsid w:val="799A6260"/>
    <w:rsid w:val="7BC74393"/>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2023-12-07T02:44:29Z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