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采购项目编号：SCFY-YXZB202311-012（磋）</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32</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0"/>
        <w:gridCol w:w="1020"/>
        <w:gridCol w:w="996"/>
        <w:gridCol w:w="808"/>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52"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93"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99"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7"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395"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297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52" w:type="pct"/>
            <w:vMerge w:val="continue"/>
            <w:noWrap w:val="0"/>
            <w:vAlign w:val="center"/>
          </w:tcPr>
          <w:p>
            <w:pPr>
              <w:spacing w:line="420" w:lineRule="exact"/>
              <w:jc w:val="center"/>
              <w:rPr>
                <w:rFonts w:hint="eastAsia" w:cs="宋体"/>
                <w:color w:val="000000"/>
                <w:kern w:val="0"/>
              </w:rPr>
            </w:pPr>
          </w:p>
        </w:tc>
        <w:tc>
          <w:tcPr>
            <w:tcW w:w="293"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499"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lang w:val="en-US" w:eastAsia="zh-CN"/>
              </w:rPr>
              <w:t>人工乳房植入体</w:t>
            </w:r>
          </w:p>
        </w:tc>
        <w:tc>
          <w:tcPr>
            <w:tcW w:w="487"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16000元</w:t>
            </w:r>
          </w:p>
        </w:tc>
        <w:tc>
          <w:tcPr>
            <w:tcW w:w="395"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20个</w:t>
            </w:r>
          </w:p>
        </w:tc>
        <w:tc>
          <w:tcPr>
            <w:tcW w:w="2971" w:type="pct"/>
            <w:noWrap w:val="0"/>
            <w:vAlign w:val="top"/>
          </w:tcPr>
          <w:p>
            <w:pPr>
              <w:widowControl/>
              <w:jc w:val="both"/>
              <w:textAlignment w:val="center"/>
            </w:pPr>
            <w:r>
              <w:rPr>
                <w:rFonts w:hint="eastAsia"/>
                <w:lang w:val="en-US" w:eastAsia="zh-CN"/>
              </w:rPr>
              <w:t>用途：用于乳房再造和隆胸手术。</w:t>
            </w:r>
          </w:p>
          <w:p>
            <w:pPr>
              <w:pStyle w:val="2"/>
              <w:numPr>
                <w:ilvl w:val="0"/>
                <w:numId w:val="0"/>
              </w:numPr>
              <w:ind w:leftChars="0"/>
              <w:rPr>
                <w:rFonts w:hint="eastAsia"/>
                <w:lang w:val="en-US" w:eastAsia="zh-CN"/>
              </w:rPr>
            </w:pPr>
            <w:r>
              <w:rPr>
                <w:rFonts w:hint="eastAsia" w:ascii="宋体" w:hAnsi="宋体" w:cs="宋体"/>
                <w:b/>
                <w:bCs/>
                <w:color w:val="auto"/>
                <w:kern w:val="0"/>
                <w:sz w:val="21"/>
                <w:szCs w:val="21"/>
              </w:rPr>
              <w:t>*</w:t>
            </w:r>
            <w:r>
              <w:rPr>
                <w:rFonts w:hint="eastAsia" w:ascii="宋体" w:hAnsi="宋体" w:cs="宋体"/>
                <w:color w:val="auto"/>
                <w:kern w:val="0"/>
                <w:sz w:val="21"/>
                <w:szCs w:val="21"/>
                <w:lang w:val="en-US" w:eastAsia="zh-CN"/>
              </w:rPr>
              <w:t xml:space="preserve"> 1. </w:t>
            </w:r>
            <w:r>
              <w:rPr>
                <w:rFonts w:hint="eastAsia"/>
                <w:lang w:val="en-US" w:eastAsia="zh-CN"/>
              </w:rPr>
              <w:t>至</w:t>
            </w:r>
            <w:r>
              <w:rPr>
                <w:rFonts w:hint="eastAsia"/>
                <w:b w:val="0"/>
                <w:bCs w:val="0"/>
                <w:lang w:val="en-US" w:eastAsia="zh-CN"/>
              </w:rPr>
              <w:t>少</w:t>
            </w:r>
            <w:r>
              <w:rPr>
                <w:rFonts w:hint="eastAsia"/>
                <w:lang w:val="en-US" w:eastAsia="zh-CN"/>
              </w:rPr>
              <w:t>满足毛面自然形和毛面圆形两种规格型号。</w:t>
            </w:r>
          </w:p>
          <w:p>
            <w:pPr>
              <w:pStyle w:val="2"/>
              <w:numPr>
                <w:ilvl w:val="0"/>
                <w:numId w:val="1"/>
              </w:numPr>
              <w:ind w:leftChars="0"/>
              <w:rPr>
                <w:rFonts w:hint="eastAsia"/>
                <w:lang w:val="en-US" w:eastAsia="zh-CN"/>
              </w:rPr>
            </w:pPr>
            <w:r>
              <w:rPr>
                <w:rFonts w:hint="eastAsia"/>
                <w:lang w:val="en-US" w:eastAsia="zh-CN"/>
              </w:rPr>
              <w:t>材质要求：由硅胶壳体和医用级硅凝胶填充物组成，应具备立体防渗漏功能。</w:t>
            </w:r>
          </w:p>
          <w:p>
            <w:pPr>
              <w:pStyle w:val="2"/>
              <w:numPr>
                <w:ilvl w:val="0"/>
                <w:numId w:val="1"/>
              </w:numPr>
              <w:ind w:leftChars="0"/>
              <w:rPr>
                <w:rFonts w:hint="default"/>
                <w:lang w:val="en-US" w:eastAsia="zh-CN"/>
              </w:rPr>
            </w:pPr>
            <w:r>
              <w:rPr>
                <w:rFonts w:hint="eastAsia"/>
                <w:lang w:val="en-US" w:eastAsia="zh-CN"/>
              </w:rPr>
              <w:t>凸度：可提供低凸，中凸，高凸。水滴凸度最低≤3.0cm，最高≥5.0cm。圆形凸度最低≤2.8cm，最高≥5.0cm) 以适应不同患者需求。</w:t>
            </w:r>
          </w:p>
          <w:p>
            <w:pPr>
              <w:pStyle w:val="2"/>
              <w:numPr>
                <w:ilvl w:val="0"/>
                <w:numId w:val="1"/>
              </w:numPr>
              <w:ind w:leftChars="0"/>
              <w:rPr>
                <w:rFonts w:hint="default"/>
                <w:lang w:val="en-US" w:eastAsia="zh-CN"/>
              </w:rPr>
            </w:pPr>
            <w:r>
              <w:rPr>
                <w:rFonts w:hint="eastAsia"/>
                <w:lang w:val="en-US" w:eastAsia="zh-CN"/>
              </w:rPr>
              <w:t>规格：可提供圆形20个以上规格，水滴型 50 个以上规格。</w:t>
            </w:r>
          </w:p>
          <w:p>
            <w:pPr>
              <w:pStyle w:val="2"/>
              <w:numPr>
                <w:ilvl w:val="0"/>
                <w:numId w:val="1"/>
              </w:numPr>
              <w:ind w:leftChars="0"/>
              <w:rPr>
                <w:rFonts w:hint="default"/>
                <w:lang w:val="en-US" w:eastAsia="zh-CN"/>
              </w:rPr>
            </w:pPr>
            <w:r>
              <w:rPr>
                <w:rFonts w:hint="eastAsia"/>
                <w:lang w:val="en-US" w:eastAsia="zh-CN"/>
              </w:rPr>
              <w:t>安全：近10年内国内外无临床召回事件。</w:t>
            </w:r>
          </w:p>
          <w:p>
            <w:pPr>
              <w:pStyle w:val="2"/>
              <w:numPr>
                <w:ilvl w:val="0"/>
                <w:numId w:val="1"/>
              </w:numPr>
              <w:ind w:leftChars="0"/>
              <w:rPr>
                <w:rFonts w:hint="default"/>
                <w:lang w:val="en-US" w:eastAsia="zh-CN"/>
              </w:rPr>
            </w:pPr>
            <w:r>
              <w:rPr>
                <w:rFonts w:hint="eastAsia"/>
                <w:lang w:val="en-US" w:eastAsia="zh-CN"/>
              </w:rPr>
              <w:t>体积：最小应该≤100cc，最大应≥600cc。</w:t>
            </w:r>
          </w:p>
          <w:p>
            <w:pPr>
              <w:pStyle w:val="2"/>
              <w:numPr>
                <w:ilvl w:val="0"/>
                <w:numId w:val="1"/>
              </w:numPr>
              <w:ind w:leftChars="0"/>
              <w:rPr>
                <w:rFonts w:hint="default"/>
                <w:lang w:val="en-US" w:eastAsia="zh-CN"/>
              </w:rPr>
            </w:pPr>
            <w:r>
              <w:rPr>
                <w:rFonts w:hint="eastAsia"/>
                <w:lang w:val="en-US" w:eastAsia="zh-CN"/>
              </w:rPr>
              <w:t>配置：每支假体都应单独配置质保卡片，保证病人乳房重建术后的假体质保服务。</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972"/>
        <w:gridCol w:w="552"/>
        <w:gridCol w:w="4206"/>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9"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465"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26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01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206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center"/>
        </w:trPr>
        <w:tc>
          <w:tcPr>
            <w:tcW w:w="189"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465"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264"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012"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2068" w:type="pct"/>
            <w:noWrap w:val="0"/>
            <w:vAlign w:val="center"/>
          </w:tcPr>
          <w:p>
            <w:pPr>
              <w:widowControl/>
              <w:numPr>
                <w:ilvl w:val="0"/>
                <w:numId w:val="2"/>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2"/>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37" w:hRule="atLeast"/>
          <w:jc w:val="center"/>
        </w:trPr>
        <w:tc>
          <w:tcPr>
            <w:tcW w:w="189"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465"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37</w:t>
            </w:r>
            <w:r>
              <w:rPr>
                <w:rFonts w:hint="eastAsia" w:ascii="宋体" w:hAnsi="宋体" w:cs="Segoe UI"/>
                <w:color w:val="000000"/>
                <w:kern w:val="0"/>
                <w:sz w:val="18"/>
                <w:szCs w:val="18"/>
              </w:rPr>
              <w:t>%</w:t>
            </w:r>
          </w:p>
        </w:tc>
        <w:tc>
          <w:tcPr>
            <w:tcW w:w="264"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37</w:t>
            </w:r>
          </w:p>
        </w:tc>
        <w:tc>
          <w:tcPr>
            <w:tcW w:w="2012"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投标人提供的耗材</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试剂</w:t>
            </w:r>
            <w:r>
              <w:rPr>
                <w:rFonts w:hint="eastAsia" w:ascii="宋体" w:hAnsi="宋体" w:cs="宋体"/>
                <w:kern w:val="0"/>
                <w:sz w:val="18"/>
                <w:szCs w:val="18"/>
                <w:lang w:eastAsia="zh-CN"/>
              </w:rPr>
              <w:t>）</w:t>
            </w:r>
            <w:r>
              <w:rPr>
                <w:rFonts w:hint="eastAsia" w:ascii="宋体" w:hAnsi="宋体" w:cs="宋体"/>
                <w:kern w:val="0"/>
                <w:sz w:val="18"/>
                <w:szCs w:val="18"/>
              </w:rPr>
              <w:t>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37</w:t>
            </w:r>
            <w:r>
              <w:rPr>
                <w:rFonts w:hint="eastAsia" w:ascii="宋体" w:hAnsi="宋体" w:cs="宋体"/>
                <w:color w:val="auto"/>
                <w:kern w:val="0"/>
                <w:sz w:val="18"/>
                <w:szCs w:val="18"/>
              </w:rPr>
              <w:t>分；“*”条款技术参数不满足招标文件要求（负偏离），一次扣</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color w:val="auto"/>
                <w:kern w:val="0"/>
                <w:sz w:val="18"/>
                <w:szCs w:val="18"/>
              </w:rPr>
              <w:t>非“*”条款技术参数不满足招标文件要求（负偏离），一次扣</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2068" w:type="pct"/>
            <w:noWrap w:val="0"/>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  “*”条款技术参数供应商须提供技术支撑材料，并在技术响应表中备注技术支撑材料的页码位置，便于快速查阅验证：</w:t>
            </w:r>
          </w:p>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center"/>
        </w:trPr>
        <w:tc>
          <w:tcPr>
            <w:tcW w:w="189"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465"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9</w:t>
            </w:r>
            <w:r>
              <w:rPr>
                <w:rFonts w:hint="eastAsia" w:ascii="宋体" w:hAnsi="宋体" w:cs="Segoe UI"/>
                <w:color w:val="000000"/>
                <w:kern w:val="0"/>
                <w:sz w:val="18"/>
                <w:szCs w:val="18"/>
              </w:rPr>
              <w:t>%</w:t>
            </w:r>
          </w:p>
        </w:tc>
        <w:tc>
          <w:tcPr>
            <w:tcW w:w="264"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9</w:t>
            </w:r>
          </w:p>
        </w:tc>
        <w:tc>
          <w:tcPr>
            <w:tcW w:w="2012"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w:t>
            </w:r>
            <w:r>
              <w:rPr>
                <w:rFonts w:hint="eastAsia" w:ascii="宋体" w:hAnsi="宋体" w:cs="宋体"/>
                <w:kern w:val="0"/>
                <w:sz w:val="18"/>
                <w:szCs w:val="18"/>
                <w:lang w:val="en-US" w:eastAsia="zh-CN"/>
              </w:rPr>
              <w:t>3</w:t>
            </w:r>
            <w:r>
              <w:rPr>
                <w:rFonts w:hint="eastAsia" w:ascii="宋体" w:hAnsi="宋体" w:cs="宋体"/>
                <w:kern w:val="0"/>
                <w:sz w:val="18"/>
                <w:szCs w:val="18"/>
              </w:rPr>
              <w:t>分，扣完为止。未提供或提供不全本项不得分。</w:t>
            </w:r>
          </w:p>
        </w:tc>
        <w:tc>
          <w:tcPr>
            <w:tcW w:w="2068"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5" w:hRule="atLeast"/>
          <w:jc w:val="center"/>
        </w:trPr>
        <w:tc>
          <w:tcPr>
            <w:tcW w:w="189"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465"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9</w:t>
            </w:r>
            <w:r>
              <w:rPr>
                <w:rFonts w:hint="eastAsia" w:ascii="宋体" w:hAnsi="宋体" w:cs="Segoe UI"/>
                <w:color w:val="000000"/>
                <w:kern w:val="0"/>
                <w:sz w:val="18"/>
                <w:szCs w:val="18"/>
              </w:rPr>
              <w:t>%</w:t>
            </w:r>
          </w:p>
        </w:tc>
        <w:tc>
          <w:tcPr>
            <w:tcW w:w="264"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2012"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2068"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6" w:hRule="atLeast"/>
          <w:jc w:val="center"/>
        </w:trPr>
        <w:tc>
          <w:tcPr>
            <w:tcW w:w="189" w:type="pct"/>
            <w:vMerge w:val="restar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465" w:type="pct"/>
            <w:vMerge w:val="restar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w:t>
            </w:r>
          </w:p>
        </w:tc>
        <w:tc>
          <w:tcPr>
            <w:tcW w:w="264" w:type="pct"/>
            <w:vMerge w:val="restart"/>
            <w:noWrap w:val="0"/>
            <w:vAlign w:val="center"/>
          </w:tcPr>
          <w:p>
            <w:pPr>
              <w:widowControl/>
              <w:spacing w:line="320" w:lineRule="atLeast"/>
              <w:ind w:left="-105" w:leftChars="0" w:right="-107" w:rightChars="0"/>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15</w:t>
            </w:r>
          </w:p>
        </w:tc>
        <w:tc>
          <w:tcPr>
            <w:tcW w:w="2012" w:type="pct"/>
            <w:noWrap w:val="0"/>
            <w:vAlign w:val="center"/>
          </w:tcPr>
          <w:p>
            <w:pPr>
              <w:wordWrap w:val="0"/>
              <w:jc w:val="left"/>
              <w:rPr>
                <w:rFonts w:hint="default"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bidi="ar-SA"/>
              </w:rPr>
              <w:t>投标产品质保期限：质保期≥10年，得3分；30年≥质保期＞10年，得6分；质保期＞30年，得9分。</w:t>
            </w:r>
          </w:p>
        </w:tc>
        <w:tc>
          <w:tcPr>
            <w:tcW w:w="2068"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w:t>
            </w:r>
            <w:r>
              <w:rPr>
                <w:rFonts w:hint="eastAsia" w:ascii="宋体" w:hAnsi="宋体" w:cs="宋体"/>
                <w:kern w:val="0"/>
                <w:sz w:val="18"/>
                <w:szCs w:val="18"/>
              </w:rPr>
              <w:t>：</w:t>
            </w:r>
          </w:p>
          <w:p>
            <w:pPr>
              <w:pStyle w:val="2"/>
              <w:rPr>
                <w:rFonts w:ascii="宋体" w:hAnsi="宋体" w:cs="Segoe UI"/>
                <w:color w:val="000000"/>
                <w:kern w:val="0"/>
                <w:sz w:val="18"/>
                <w:szCs w:val="18"/>
                <w:lang w:val="en-US" w:eastAsia="zh-CN" w:bidi="ar-SA"/>
              </w:rPr>
            </w:pPr>
            <w:r>
              <w:rPr>
                <w:rFonts w:hint="eastAsia" w:ascii="宋体" w:hAnsi="宋体" w:cs="宋体"/>
                <w:kern w:val="0"/>
                <w:sz w:val="18"/>
                <w:szCs w:val="18"/>
                <w:lang w:val="en-US" w:eastAsia="zh-CN"/>
              </w:rPr>
              <w:t>产品质保卡或说明书。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center"/>
        </w:trPr>
        <w:tc>
          <w:tcPr>
            <w:tcW w:w="189" w:type="pct"/>
            <w:vMerge w:val="continue"/>
            <w:noWrap w:val="0"/>
            <w:vAlign w:val="center"/>
          </w:tcPr>
          <w:p>
            <w:pPr>
              <w:widowControl/>
              <w:wordWrap w:val="0"/>
              <w:spacing w:line="270" w:lineRule="atLeast"/>
              <w:jc w:val="center"/>
              <w:rPr>
                <w:rFonts w:hint="eastAsia" w:ascii="宋体" w:hAnsi="宋体" w:cs="Segoe UI"/>
                <w:color w:val="000000"/>
                <w:kern w:val="0"/>
                <w:sz w:val="18"/>
                <w:szCs w:val="18"/>
              </w:rPr>
            </w:pPr>
          </w:p>
        </w:tc>
        <w:tc>
          <w:tcPr>
            <w:tcW w:w="465" w:type="pct"/>
            <w:vMerge w:val="continue"/>
            <w:noWrap w:val="0"/>
            <w:vAlign w:val="center"/>
          </w:tcPr>
          <w:p>
            <w:pPr>
              <w:widowControl/>
              <w:wordWrap w:val="0"/>
              <w:spacing w:line="270" w:lineRule="atLeast"/>
              <w:jc w:val="center"/>
              <w:rPr>
                <w:rFonts w:hint="eastAsia" w:ascii="宋体" w:hAnsi="宋体" w:cs="宋体"/>
                <w:color w:val="000000"/>
                <w:kern w:val="0"/>
                <w:sz w:val="18"/>
                <w:szCs w:val="18"/>
                <w:lang w:val="en-US" w:eastAsia="zh-CN"/>
              </w:rPr>
            </w:pPr>
          </w:p>
        </w:tc>
        <w:tc>
          <w:tcPr>
            <w:tcW w:w="264" w:type="pct"/>
            <w:vMerge w:val="continue"/>
            <w:noWrap w:val="0"/>
            <w:vAlign w:val="center"/>
          </w:tcPr>
          <w:p>
            <w:pPr>
              <w:widowControl/>
              <w:spacing w:line="320" w:lineRule="atLeast"/>
              <w:ind w:left="-105" w:leftChars="0" w:right="-107" w:rightChars="0"/>
              <w:jc w:val="center"/>
              <w:rPr>
                <w:rFonts w:hint="eastAsia" w:ascii="宋体" w:hAnsi="宋体" w:cs="Segoe UI"/>
                <w:color w:val="333333"/>
                <w:kern w:val="0"/>
                <w:sz w:val="18"/>
                <w:szCs w:val="18"/>
                <w:lang w:val="en-US" w:eastAsia="zh-CN"/>
              </w:rPr>
            </w:pPr>
          </w:p>
        </w:tc>
        <w:tc>
          <w:tcPr>
            <w:tcW w:w="2012" w:type="pct"/>
            <w:noWrap w:val="0"/>
            <w:vAlign w:val="center"/>
          </w:tcPr>
          <w:p>
            <w:pPr>
              <w:wordWrap w:val="0"/>
              <w:jc w:val="left"/>
              <w:rPr>
                <w:rFonts w:hint="eastAsia" w:ascii="宋体" w:hAnsi="宋体" w:cs="宋体"/>
                <w:kern w:val="0"/>
                <w:sz w:val="18"/>
                <w:szCs w:val="18"/>
                <w:lang w:bidi="ar"/>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分，分值扣完为止。</w:t>
            </w:r>
          </w:p>
        </w:tc>
        <w:tc>
          <w:tcPr>
            <w:tcW w:w="2068" w:type="pct"/>
            <w:noWrap w:val="0"/>
            <w:vAlign w:val="center"/>
          </w:tcPr>
          <w:p>
            <w:pPr>
              <w:wordWrap w:val="0"/>
              <w:jc w:val="left"/>
              <w:rPr>
                <w:rFonts w:ascii="宋体" w:hAnsi="宋体" w:cs="Segoe UI"/>
                <w:color w:val="000000"/>
                <w:kern w:val="0"/>
                <w:sz w:val="18"/>
                <w:szCs w:val="18"/>
                <w:lang w:val="en-US" w:eastAsia="zh-CN" w:bidi="ar-SA"/>
              </w:rPr>
            </w:pPr>
          </w:p>
        </w:tc>
      </w:tr>
    </w:tbl>
    <w:p>
      <w:pPr>
        <w:rPr>
          <w:rFonts w:hint="eastAsia" w:ascii="宋体" w:hAnsi="宋体" w:eastAsia="宋体" w:cs="Segoe UI"/>
          <w:b/>
          <w:bCs/>
          <w:kern w:val="0"/>
          <w:sz w:val="28"/>
          <w:szCs w:val="28"/>
        </w:rPr>
      </w:pPr>
      <w:bookmarkStart w:id="135" w:name="_GoBack"/>
      <w:bookmarkEnd w:id="135"/>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3414"/>
      <w:bookmarkStart w:id="3" w:name="_Toc21676"/>
      <w:bookmarkStart w:id="4" w:name="_Toc21163"/>
      <w:bookmarkStart w:id="5" w:name="_Toc15614"/>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2490"/>
      <w:bookmarkStart w:id="8" w:name="_Toc30275"/>
      <w:bookmarkStart w:id="9" w:name="_Toc30494"/>
      <w:bookmarkStart w:id="10" w:name="_Toc14802"/>
      <w:bookmarkStart w:id="11" w:name="_Toc10689"/>
      <w:bookmarkStart w:id="12" w:name="_Toc11076"/>
      <w:bookmarkStart w:id="13" w:name="_Toc5499"/>
      <w:bookmarkStart w:id="14" w:name="_Toc5208"/>
      <w:bookmarkStart w:id="15" w:name="_Toc60"/>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9131"/>
      <w:bookmarkStart w:id="17" w:name="_Toc10948"/>
      <w:bookmarkStart w:id="18" w:name="_Toc26481"/>
      <w:bookmarkStart w:id="19" w:name="_Toc3912"/>
      <w:bookmarkStart w:id="20" w:name="_Toc28103"/>
      <w:bookmarkStart w:id="21" w:name="_Toc13021"/>
      <w:bookmarkStart w:id="22" w:name="_Toc30724"/>
      <w:bookmarkStart w:id="23" w:name="_Toc10183"/>
      <w:bookmarkStart w:id="24" w:name="_Toc7067"/>
      <w:bookmarkStart w:id="25" w:name="_Toc32214"/>
      <w:bookmarkStart w:id="26" w:name="_Toc3081"/>
      <w:bookmarkStart w:id="27" w:name="_Toc3392"/>
      <w:bookmarkStart w:id="28" w:name="_Toc18513"/>
      <w:bookmarkStart w:id="29" w:name="_Toc3447"/>
      <w:bookmarkStart w:id="30" w:name="_Toc8717"/>
      <w:bookmarkStart w:id="31" w:name="_Toc19115"/>
      <w:bookmarkStart w:id="32" w:name="_Toc18879"/>
      <w:bookmarkStart w:id="33" w:name="_Toc30080"/>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5196"/>
      <w:bookmarkStart w:id="35" w:name="_Toc9042"/>
      <w:bookmarkStart w:id="36" w:name="_Toc7249"/>
      <w:bookmarkStart w:id="37" w:name="_Toc30920"/>
      <w:bookmarkStart w:id="38" w:name="_Toc10142"/>
      <w:bookmarkStart w:id="39" w:name="_Toc23645"/>
      <w:bookmarkStart w:id="40" w:name="_Toc18259"/>
      <w:bookmarkStart w:id="41" w:name="_Toc30649"/>
      <w:bookmarkStart w:id="42" w:name="_Toc22795"/>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1988"/>
      <w:bookmarkStart w:id="46" w:name="_Toc3004"/>
      <w:bookmarkStart w:id="47" w:name="_Toc24117"/>
      <w:bookmarkStart w:id="48" w:name="_Toc19600"/>
      <w:bookmarkStart w:id="49" w:name="_Toc4775"/>
      <w:bookmarkStart w:id="50" w:name="_Toc25516"/>
      <w:bookmarkStart w:id="51" w:name="_Toc30083"/>
      <w:bookmarkStart w:id="52" w:name="_Toc26548"/>
      <w:bookmarkStart w:id="53" w:name="_Toc353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2198"/>
      <w:bookmarkStart w:id="55" w:name="_Toc16764"/>
      <w:bookmarkStart w:id="56" w:name="_Toc12333"/>
      <w:bookmarkStart w:id="57" w:name="_Toc16666"/>
      <w:bookmarkStart w:id="58" w:name="_Toc691"/>
      <w:bookmarkStart w:id="59" w:name="_Toc21982"/>
      <w:bookmarkStart w:id="60" w:name="_Toc23192"/>
      <w:bookmarkStart w:id="61" w:name="_Toc32166"/>
      <w:bookmarkStart w:id="62" w:name="_Toc27376"/>
      <w:bookmarkStart w:id="63" w:name="_Toc14887"/>
      <w:bookmarkStart w:id="64" w:name="_Toc3494"/>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22606"/>
      <w:bookmarkStart w:id="66" w:name="_Toc31581"/>
      <w:bookmarkStart w:id="67" w:name="_Toc1371"/>
      <w:bookmarkStart w:id="68" w:name="_Toc11914"/>
      <w:bookmarkStart w:id="69" w:name="_Toc14269"/>
      <w:bookmarkStart w:id="70" w:name="_Toc4577"/>
      <w:bookmarkStart w:id="71" w:name="_Toc10013"/>
      <w:bookmarkStart w:id="72" w:name="_Toc9263"/>
      <w:bookmarkStart w:id="73" w:name="_Toc25068"/>
      <w:bookmarkStart w:id="74" w:name="_Toc5412"/>
      <w:bookmarkStart w:id="75" w:name="_Toc394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29190"/>
      <w:bookmarkStart w:id="78" w:name="_Toc13677"/>
      <w:bookmarkStart w:id="79" w:name="_Toc31890"/>
      <w:bookmarkStart w:id="80" w:name="_Toc13267"/>
      <w:bookmarkStart w:id="81" w:name="_Toc3908"/>
      <w:bookmarkStart w:id="82" w:name="_Toc17108"/>
      <w:bookmarkStart w:id="83" w:name="_Toc10600"/>
      <w:bookmarkStart w:id="84" w:name="_Toc2316"/>
      <w:bookmarkStart w:id="85" w:name="_Toc11489"/>
      <w:bookmarkStart w:id="86" w:name="_Toc293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4122"/>
      <w:bookmarkStart w:id="88" w:name="_Toc32365"/>
      <w:bookmarkStart w:id="89" w:name="_Toc15916"/>
      <w:bookmarkStart w:id="90" w:name="_Toc21351"/>
      <w:bookmarkStart w:id="91" w:name="_Toc1313"/>
      <w:bookmarkStart w:id="92" w:name="_Toc14252"/>
      <w:bookmarkStart w:id="93" w:name="_Toc12088"/>
      <w:bookmarkStart w:id="94" w:name="_Toc31638"/>
      <w:bookmarkStart w:id="95" w:name="_Toc2675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9215"/>
      <w:bookmarkStart w:id="98" w:name="_Toc9398"/>
      <w:bookmarkStart w:id="99" w:name="_Toc23212"/>
      <w:bookmarkStart w:id="100" w:name="_Toc11278"/>
      <w:bookmarkStart w:id="101" w:name="_Toc22760"/>
      <w:bookmarkStart w:id="102" w:name="_Toc18046"/>
      <w:bookmarkStart w:id="103" w:name="_Toc19589"/>
      <w:bookmarkStart w:id="104" w:name="_Toc27948"/>
      <w:bookmarkStart w:id="105" w:name="_Toc26609"/>
      <w:bookmarkStart w:id="106" w:name="_Toc10583"/>
      <w:bookmarkStart w:id="107" w:name="_Toc15894"/>
      <w:bookmarkStart w:id="108" w:name="_Toc15083"/>
      <w:bookmarkStart w:id="109" w:name="_Toc27985"/>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17741"/>
      <w:bookmarkStart w:id="111" w:name="_Toc29648"/>
      <w:bookmarkStart w:id="112" w:name="_Toc8083"/>
      <w:bookmarkStart w:id="113" w:name="_Toc24107"/>
      <w:bookmarkStart w:id="114" w:name="_Toc17204"/>
      <w:bookmarkStart w:id="115" w:name="_Toc24671"/>
      <w:bookmarkStart w:id="116" w:name="_Toc757"/>
      <w:bookmarkStart w:id="117" w:name="_Toc24655"/>
      <w:bookmarkStart w:id="118" w:name="_Toc4116"/>
      <w:bookmarkStart w:id="119" w:name="_Toc27767"/>
      <w:bookmarkStart w:id="120" w:name="_Toc14546"/>
      <w:bookmarkStart w:id="121" w:name="_Toc8348"/>
      <w:bookmarkStart w:id="122" w:name="_Toc8940"/>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24280"/>
      <w:bookmarkStart w:id="124" w:name="_Toc12682"/>
      <w:bookmarkStart w:id="125" w:name="_Toc22243"/>
      <w:bookmarkStart w:id="126" w:name="_Toc8524"/>
      <w:bookmarkStart w:id="127" w:name="_Toc15917"/>
      <w:bookmarkStart w:id="128" w:name="_Toc2003"/>
      <w:bookmarkStart w:id="129" w:name="_Toc5840"/>
      <w:bookmarkStart w:id="130" w:name="_Toc10308"/>
      <w:bookmarkStart w:id="131" w:name="_Toc20745"/>
      <w:bookmarkStart w:id="132" w:name="_Toc10945"/>
      <w:bookmarkStart w:id="133" w:name="_Toc10950"/>
      <w:bookmarkStart w:id="134" w:name="_Toc14781"/>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231E8"/>
    <w:multiLevelType w:val="singleLevel"/>
    <w:tmpl w:val="DBC231E8"/>
    <w:lvl w:ilvl="0" w:tentative="0">
      <w:start w:val="2"/>
      <w:numFmt w:val="decimal"/>
      <w:suff w:val="space"/>
      <w:lvlText w:val="%1."/>
      <w:lvlJc w:val="left"/>
    </w:lvl>
  </w:abstractNum>
  <w:abstractNum w:abstractNumId="1">
    <w:nsid w:val="0723BC51"/>
    <w:multiLevelType w:val="singleLevel"/>
    <w:tmpl w:val="0723BC5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7953CAB"/>
    <w:rsid w:val="07B925A7"/>
    <w:rsid w:val="0BF815CE"/>
    <w:rsid w:val="0E911C5D"/>
    <w:rsid w:val="10954EC2"/>
    <w:rsid w:val="12A81059"/>
    <w:rsid w:val="13485B4A"/>
    <w:rsid w:val="14456F80"/>
    <w:rsid w:val="195D2073"/>
    <w:rsid w:val="1A37043E"/>
    <w:rsid w:val="228C2840"/>
    <w:rsid w:val="26D9225C"/>
    <w:rsid w:val="272816FC"/>
    <w:rsid w:val="28203DA9"/>
    <w:rsid w:val="2E811DD5"/>
    <w:rsid w:val="357C4381"/>
    <w:rsid w:val="364F4E7F"/>
    <w:rsid w:val="365344A5"/>
    <w:rsid w:val="38BB478A"/>
    <w:rsid w:val="396510AC"/>
    <w:rsid w:val="3ED3727D"/>
    <w:rsid w:val="405F3E1B"/>
    <w:rsid w:val="41EE0E8D"/>
    <w:rsid w:val="4669398D"/>
    <w:rsid w:val="48983A5D"/>
    <w:rsid w:val="4AE36A9A"/>
    <w:rsid w:val="4B7A520A"/>
    <w:rsid w:val="4C5E41EC"/>
    <w:rsid w:val="4EE10A0C"/>
    <w:rsid w:val="51CB3FD0"/>
    <w:rsid w:val="53914C7E"/>
    <w:rsid w:val="5536063D"/>
    <w:rsid w:val="55F211D3"/>
    <w:rsid w:val="56183BA8"/>
    <w:rsid w:val="577B25E6"/>
    <w:rsid w:val="5C452678"/>
    <w:rsid w:val="5FEC0FA4"/>
    <w:rsid w:val="60795DD8"/>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6610EA"/>
    <w:rsid w:val="71D57369"/>
    <w:rsid w:val="75233D75"/>
    <w:rsid w:val="77490A08"/>
    <w:rsid w:val="78BA1DAC"/>
    <w:rsid w:val="799A6260"/>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2</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2023-12-06T03:24:01Z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