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采购项目编号：SCFY-YXZB202312-004（磋）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98.1654万元/年</w:t>
      </w:r>
      <w:bookmarkStart w:id="135" w:name="_GoBack"/>
      <w:bookmarkEnd w:id="135"/>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10795" w:type="dxa"/>
        <w:jc w:val="center"/>
        <w:tblLayout w:type="fixed"/>
        <w:tblCellMar>
          <w:top w:w="0" w:type="dxa"/>
          <w:left w:w="108" w:type="dxa"/>
          <w:bottom w:w="0" w:type="dxa"/>
          <w:right w:w="108" w:type="dxa"/>
        </w:tblCellMar>
      </w:tblPr>
      <w:tblGrid>
        <w:gridCol w:w="686"/>
        <w:gridCol w:w="852"/>
        <w:gridCol w:w="1960"/>
        <w:gridCol w:w="1143"/>
        <w:gridCol w:w="1266"/>
        <w:gridCol w:w="783"/>
        <w:gridCol w:w="1134"/>
        <w:gridCol w:w="2971"/>
      </w:tblGrid>
      <w:tr>
        <w:tblPrEx>
          <w:tblCellMar>
            <w:top w:w="0" w:type="dxa"/>
            <w:left w:w="108" w:type="dxa"/>
            <w:bottom w:w="0" w:type="dxa"/>
            <w:right w:w="108" w:type="dxa"/>
          </w:tblCellMar>
        </w:tblPrEx>
        <w:trPr>
          <w:trHeight w:val="576"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项目清单及检测方法/技术参数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产品名称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预估</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年度用量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计价</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预算单价（元）</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检测方法/技术参数</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AACT抗体试剂（免疫组织化学）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AAT抗体试剂（免疫组织化学）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ACTH抗体试剂（免疫组织化学）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Actin抗体试剂（免疫组织化学）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AEC 显色试剂盒(20x)</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ALK抗体试剂（免疫组织化学）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AMACR/p504s抗体试剂（免疫组织化学）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AMACR/p63/CKHMW检测试剂盒（免疫组织化学法）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Androgen Receptor抗体试剂（免疫组织化学）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Arginase-1抗体试剂（免疫组织化学）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bcl-2抗体试剂（免疫组织化学）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bcl-6抗体试剂（免疫组织化学）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958.00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Ber-EP4抗体试剂（免疫组织化学）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Beta-catenin抗体试剂（免疫组织化学）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b-FGF抗体试剂（免疫组织化学）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Bob.1抗体试剂（免疫组织化学）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BRCA1抗体试剂（免疫组织化学）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125抗体试剂（免疫组织化学）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19-9抗体试剂（免疫组织化学）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IX碳酸酐酶9抗体试剂（免疫组织化学）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Calcitonin降钙素抗体试剂（免疫组织化学）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Caldesmon抗体试剂（免疫组织化学）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Calponin抗体试剂（免疫组织化学）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Calponin抗体试剂（免疫组织化学）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Calretinin抗体试剂（免疫组织化学）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CD117 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CD20抗体试剂（免疫组织化学法）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1287.19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CD235a, Glycophorin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CD44v6抗体试剂（免疫组织化学）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CD45RO抗体试剂（免疫组织化学）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CD61抗体试剂（免疫组织化学）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CD68抗体试剂（免疫组织化学）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CD79a抗体试剂（免疫组织化学）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CD99抗体试剂（免疫组织化学）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CDK4抗体试剂（免疫组织化学）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CEA抗体试剂（免疫组织化学）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Chromogranin抗体试剂（免疫组织化学）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Claudin 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c-MYC抗体试剂（免疫组织化学）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Collagen Type IV抗体试剂（免疫组织化学）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CXCL-13抗体试剂（免疫组织化学）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D2-40抗体试剂（免疫组织化学）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DAB染色液（DAB plus）</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DAB染色液（聚合物法）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892.40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Desmin抗体试剂（免疫组织化学）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DOG1抗体试剂（免疫组织化学）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EBER探针（原位杂交法）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EBV,LMP-1抗体试剂（免疫组织化学）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E-Cadherin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E-Cadherin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Ep-CAM抗体试剂（免疫组织化学）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ERCC1抗体试剂（免疫组织化学）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ERG抗体试剂（免疫组织化学）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ESA抗体试剂（免疫组织化学）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Factor VIII受体抗体试剂（免疫组织化学）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FH抗体试剂（免疫组织化学法）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Fibronectin抗体试剂（免疫组织化学）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FLI-1抗体试剂（免疫组织化学）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Flt-1/VEGFR1抗体试剂（免疫组织化学）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FOX 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FSH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Galectin-3抗体试剂（免疫组织化学）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Gastrin抗体试剂（免疫组织化学）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GATA3抗体试剂（免疫组织化学）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GCDFP-15抗体试剂（免疫组织化学）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667.36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GLUT-1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Glutamine Synthetase抗体试剂（免疫组织化学）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Glypican 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Granzyme 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GST-π抗体试剂（免疫组织化学）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 K36M抗体试剂（免疫组织化学）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H3.3 G34W抗体试剂（免疫组织化学）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H3K27Me3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H3K27M抗体试剂（免疫组织化学）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HBcAg抗体试剂（免疫组织化学）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HBsAg抗体试剂（免疫组织化学）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Helicobacter phlori抗体试剂（免疫组织化学）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Hepatocyte抗体试剂（免疫组织化学）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872.00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HER-2抗体试剂（免疫组织化学法）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HMB-45抗体试剂（免疫组织化学）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HNF1-Beta抗体试剂（免疫组织化学）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Chorionic Gonadotropin抗体试剂（免疫组织化学）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Growth Hormone抗体试剂（免疫组织化学）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Placental Lactogen抗体试剂（免疫组织化学）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IDH-1抗体试剂（免疫组织化学）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912.00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IgG4抗体试剂（免疫组织化学）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IgM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IMP3抗体试剂（免疫组织化学）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Inhibin, alpha抗体试剂（免疫组织化学）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INI-1抗体试剂（免疫组织化学）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Insulin抗体试剂（免疫组织化学）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Kappa链抗体试剂（免疫组织化学）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Ki-67抗体试剂（免疫组织化学）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Ki-67抗体试剂（免疫组织化学）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Ksp-Cadherin抗体试剂（免疫组织化学）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Lambda链抗体试剂（免疫组织化学）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Laminin抗体试剂（免疫组织化学）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Langerin抗体试剂（免疫组织化学）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LEF-1抗体试剂（免疫组织化学）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1197.00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LMO2抗体试剂（免疫组织化学）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LRP抗体试剂（免疫组织化学）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Luteinizing Hormone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Lysozyme抗体试剂（免疫组织化学）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Mammaglobin抗体试剂（免疫组织化学）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MART-1/melan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MDM2抗体试剂（免疫组织化学）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Melanoma Pan抗体试剂（免疫组织化学）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Melanoma抗体试剂（免疫组织化学）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392.00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MGMT抗体试剂（免疫组织化学）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997.00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MHA抗体试剂（免疫组织化学）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MLH1抗体试剂（免疫组织化学）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MOC-31抗体试剂（免疫组织化学）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MSH2抗体试剂（免疫组织化学）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MSH6抗体试剂（免疫组织化学）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334.65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MUC5AC抗体试剂（免疫组织化学）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185.27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Myelin Basic 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Myeloperoxidase抗体试剂（免疫组织化学）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Myeloperoxidase抗体试剂（免疫组织化学）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 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Myogenin抗体试剂（免疫组织化学）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Myoglobin抗体试剂（免疫组织化学）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Napsin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Nestin抗体试剂（免疫组织化学）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1030.14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NeuN抗体试剂（免疫组织化学）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Neurofilament抗体试剂（免疫组织化学）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NF Kappa B/p50抗体试剂（免疫组织化学）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NKX2.2抗体试剂（免疫组织化学）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NKX3.1抗体试剂（免疫组织化学）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nm23抗体试剂（免疫组织化学）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Oct2抗体试剂（免疫组织化学）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968.00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Oct3/4抗体试剂（免疫组织化学）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Oligo-2抗体试剂（免疫组织化学）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p21/WAF1抗体试剂（免疫组织化学）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p27抗体试剂（免疫组织化学）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p40抗体试剂（免疫组织化学）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p53抗体试剂（免疫组织化学）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p57抗体试剂（免疫组织化学）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Papilloma Virus抗体试剂（免疫组织化学）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PCNA抗体试剂（免疫组织化学）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P-Glycoprotein抗体试剂（免疫组织化学）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1381.00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PHH3抗体试剂（免疫组织化学）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PLAP抗体试剂（免疫组织化学）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PMS2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PNL2抗体试剂（免疫组织化学）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PRL抗体试剂（免疫组织化学）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Protein Gene Product 9.5抗体试剂（免疫组织化学）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PSAP抗体试剂（免疫组织化学）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PTEN抗体试剂（免疫组织化学法）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PTH甲状旁腺素抗体试剂（免疫组织化学）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Rb Gene 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Renal Cell Carcinoma Marker抗体试剂（免疫组织化学）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323.01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RRM1抗体试剂（免疫组织化学）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RRM1抗体试剂（免疫组织化学）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S100P抗体试剂（免疫组织化学）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S100抗体试剂（免疫组织化学）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SALL4抗体试剂（免疫组织化学）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SATB2抗体试剂（免疫组织化学）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SDHB抗体试剂（免疫组织化学）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Serotonin抗体试剂（免疫组织化学）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Skeletal Myosin抗体试剂（免疫组织化学）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SMARCA4&amp;Brg1抗体试剂（免疫组织化学）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Smooth Muscle Myosin抗体试剂（免疫组织化学）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Somatostatin抗体试剂（免疫组织化学）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SOX-10抗体试剂（免疫组织化学）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SOX-11抗体试剂（免疫组织化学）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SSTR2抗体试剂（免疫组织化学）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STAT6抗体试剂（免疫组织化学）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Stathmin抗体试剂（免疫组织化学）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Surfactant Protein 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Survivin抗体试剂（免疫组织化学）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Synaptophysin抗体试剂（免疫组织化学）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TCR β 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TdT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1028.00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TFE3抗体试剂（免疫组织化学）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Thymidylate Synthase抗体试剂（免疫组织化学）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Thyroid Stimulating Hormone抗体试剂（免疫组织化学）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TIA-1抗体试剂（免疫组织化学）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TLE1抗体试剂（免疫组织化学）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1111.00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TOP2A抗体试剂（免疫组织化学）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TPO抗体试剂（免疫组织化学）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Uroplakin Ⅲ抗体试剂（免疫组织化学）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VEGF抗体试剂（免疫组织化学）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VHL抗体试剂（免疫组织化学）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Vimentin抗体试剂（免疫组织化学）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Vimentin抗体试剂（免疫组织化学）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1399.00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β-tubulin-III抗体试剂（免疫组织化学）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表皮生长因子受体抗体试剂（免疫组织化学）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雌激素受体抗体试剂（免疫组织化学法）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缓冲液(PBS磷酸盐法)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2000ml/包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甲状腺转录因子-1抗体试剂（免疫组织化学）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胶质纤维酸性蛋白抗体试剂（免疫组织化学）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62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免疫显色试剂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4"/>
                <w:sz w:val="21"/>
                <w:szCs w:val="21"/>
                <w:lang w:bidi="ar"/>
              </w:rPr>
              <w:t>300测试/盒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5"/>
                <w:sz w:val="21"/>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14100.00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免疫组化抗原修复缓冲液(EDTA法)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免疫组化抗原修复缓冲液(粉剂型柠檬酸法)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2000ml/包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微管素抗体试剂（免疫组织化学）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细胞角蛋白（低分子量）抗体试剂（免疫组织化学）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细胞角蛋白（高分子量）抗体试剂（免疫组织化学）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细胞角蛋白（广谱）抗体试剂（免疫组织化学）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细胞角蛋白（广谱）抗体试剂（免疫组织化学）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977.00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628.00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细胞角蛋白5&amp;6抗体试剂（免疫组织化学）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细胞角蛋白5&amp;6抗体试剂（免疫组织化学）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细胞角蛋白8&amp;18抗体试剂（免疫组织化学）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细胞角蛋白CAM 5.2抗体试剂（免疫组织化学）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细胞周期蛋白D1抗体试剂（免疫组织化学）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631.00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细胞周期蛋白E抗体试剂（免疫组织化学）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孕激素受体抗体试剂（免疫组织化学法）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抗体稀释液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p16/Ki-67检测试剂盒（免疫细胞化学法）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免疫细胞化学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SMARCA4&amp;Brg1抗体试剂（免疫组织化学）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 系列（CD3/4/8）细胞检测玻片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2人份/包×10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免疫细胞化学，提供实物照片。</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程序性死亡受体1（PD-1）抗体试剂（免疫组织化学）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374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抗HPV E6/E7单克隆抗体试剂（免疫组织化学法）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通过免疫细胞化学法，体外定性检测人宫颈脱落细胞中的HPV E6/E7蛋白。组成成分：鼠抗人 HPV E6单克隆抗体、鼠抗人HPV E7单克隆抗体。可检测HPV型号： HPV-16，HPV-18，HPV-31，HPV-33，HPV-35，HPV-39， HPV-45，HPV-51，HPV-52， HPV-56，HPV-58，HPV-59，HPV-68。提供实物照片。</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取材刀柄</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169.67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1、不锈钢带刻度刀柄。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2、刻度值≥5。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3、长度≥23cm。</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0.41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1.长条孔包埋盒。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POM 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3.带可折断式的盖子。</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1.POM材质。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2.前后端带插槽。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3.孔径：0.26*0.26mm。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4.适用于穿刺组织。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5.带盖，可拆卸两片式设计。</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1.长条孔包埋盒。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2.POM 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3.带可折断式的盖子。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4.匹配科室打号机。</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0.70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1.POM材质。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2.前后端带插槽。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3.适用于小组织。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4.带盖，可拆卸两片式设计。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5.匹配科室打号机。</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TO型生物制片透明剂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47.83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1.不溶于水，挥发性好。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2.对常用生物染料染色无不良影响，可对生物组织做透明处理。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提供实物照片。</w:t>
            </w:r>
          </w:p>
        </w:tc>
      </w:tr>
      <w:tr>
        <w:tblPrEx>
          <w:tblCellMar>
            <w:top w:w="0" w:type="dxa"/>
            <w:left w:w="108" w:type="dxa"/>
            <w:bottom w:w="0" w:type="dxa"/>
            <w:right w:w="108" w:type="dxa"/>
          </w:tblCellMar>
        </w:tblPrEx>
        <w:trPr>
          <w:trHeight w:val="230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1.无色透明，无沉淀及异物。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2.成分:饱和烷烃组合的混合物。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3.有效期18个月。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可取代二甲苯用于组织脱水、细胞染色过程中，起到透明作用。</w:t>
            </w:r>
          </w:p>
        </w:tc>
      </w:tr>
      <w:tr>
        <w:tblPrEx>
          <w:tblCellMar>
            <w:top w:w="0" w:type="dxa"/>
            <w:left w:w="108" w:type="dxa"/>
            <w:bottom w:w="0" w:type="dxa"/>
            <w:right w:w="108" w:type="dxa"/>
          </w:tblCellMar>
        </w:tblPrEx>
        <w:trPr>
          <w:trHeight w:val="230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386.13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1.无色透明，无沉淀及异物。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2.成分:饱和烷烃组合的混合物。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3.有效期18个月。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4.可取代二甲苯用于组织脱水、细胞染色过程中，起到透明作用。</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封片超净无色，长期保存不退色。不含有害有机溶剂。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高效切片石蜡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500g/盒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18.95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熔点：58-60℃。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片状及颗粒状石蜡。</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组织学专用石蜡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1千克/袋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1.熔点：56-58℃，58-60℃，60-62℃。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2.晶体颗粒状石蜡。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3.无毒无味易熔化，存储方便，韧性强，硬度适中。 </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冷冻包埋剂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1.即用型。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2.水溶性。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3.多色可选。</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不锈钢包埋底模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7*7mm，15*15mm，24*24mm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8.48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尺寸：7*7mm、15*15mm、24*24mm。</w:t>
            </w:r>
          </w:p>
          <w:p>
            <w:pPr>
              <w:widowControl/>
              <w:numPr>
                <w:ilvl w:val="0"/>
                <w:numId w:val="2"/>
              </w:numPr>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不锈钢材质，可反复使用。</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标准级显微镜载玻片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10.11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1.格法玻璃材质。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尺寸：25*75mm。</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病理级载玻片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1.浮法玻璃材质。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4.尺寸：25*75mm。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5.匹配科室打号机。</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粘附载玻片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68.59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1.正电荷处理。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3.抛光边，45°角。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尺寸：25*75mm。</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16.25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9.48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9.03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快速组织处理试剂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用于快速组织处理。</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一次性刀片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1.适用于各种品牌石蜡切片机。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2.不锈钢材质。</w:t>
            </w:r>
          </w:p>
        </w:tc>
      </w:tr>
      <w:tr>
        <w:tblPrEx>
          <w:tblCellMar>
            <w:top w:w="0" w:type="dxa"/>
            <w:left w:w="108" w:type="dxa"/>
            <w:bottom w:w="0" w:type="dxa"/>
            <w:right w:w="108" w:type="dxa"/>
          </w:tblCellMar>
        </w:tblPrEx>
        <w:trPr>
          <w:trHeight w:val="374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封片胶带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60m/卷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1.不需要使用封片胶即可完成封片。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2.长度≥60米/卷。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3.韧性强，不破碎。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4.封片后30分钟内能够彻底干透，不需要专门晾片。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5.可根据组织切片大小，进行不同长度的切割，切割尺寸：45、50、55、60mm。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6.匹配染色机。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7.提供样品。</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标本袋（大）</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标本袋（中）</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标本袋（微小）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0.63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标本瓶（染色缸）</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51.44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透明玻璃材质，带盖。</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塑料载玻片晾片板</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28.88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塑料材质，容量：20片。</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不锈钢染色架</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31.59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不锈钢材质，容量：40片。</w:t>
            </w:r>
          </w:p>
        </w:tc>
      </w:tr>
      <w:tr>
        <w:tblPrEx>
          <w:tblCellMar>
            <w:top w:w="0" w:type="dxa"/>
            <w:left w:w="108" w:type="dxa"/>
            <w:bottom w:w="0" w:type="dxa"/>
            <w:right w:w="108" w:type="dxa"/>
          </w:tblCellMar>
        </w:tblPrEx>
        <w:trPr>
          <w:trHeight w:val="460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苏木素-伊红染色液（H-E）</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1000片/瓶（套）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1.出厂有效期≥12个月。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2.打开包装后可稳定不低于30天。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3.由苏木素助染液(高清恒染液)、苏木素染色液(无汞)、分化液、返蓝染色液 (无氨)、伊红染色液组成。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4.苏木素染色液PH值：2.5-2.7（25℃），伊红染色液PH值：8.0-9.0（25℃）,苏木素助染液PH值：3.10-4.0（25℃）。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5.提供检测报告、样品。</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苏木素染色液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1.沉淀，无悬浮物，无絮状物。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2.有效期12个月。</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伊红染色液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1.沉淀，无悬浮物，无絮状物。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2.有效期12个月。</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巴氏染色液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EA50染液。</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巴氏染色液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橘黄G染液。</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生物组织标本制备固定液（无醛）</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即用型，脱钙型。提供样品。</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冷杉胶、溶剂油等成分组成，环保型。提供证明材料。</w:t>
            </w:r>
          </w:p>
        </w:tc>
      </w:tr>
      <w:tr>
        <w:tblPrEx>
          <w:tblCellMar>
            <w:top w:w="0" w:type="dxa"/>
            <w:left w:w="108" w:type="dxa"/>
            <w:bottom w:w="0" w:type="dxa"/>
            <w:right w:w="108" w:type="dxa"/>
          </w:tblCellMar>
        </w:tblPrEx>
        <w:trPr>
          <w:trHeight w:val="316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一次性使用样本收集器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由采样拭子和含保存液的收集管组。采样拭子由拭子头和提线组成，拭子头采用海绵和明胶制成；提线采用棉线或涤纶线制成；收集管采用聚丙烯（PP）树脂制成；保存液由甲醇、Tris缓冲液、氯化钠、纯化水制成。非无菌提供。提供实物照片。</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组织固定液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138.00</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中性缓冲福尔马林固定液，即用型试剂。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能够很好的保存组织抗原，能够满足免疫组化。</w:t>
            </w:r>
          </w:p>
        </w:tc>
      </w:tr>
      <w:tr>
        <w:tblPrEx>
          <w:tblCellMar>
            <w:top w:w="0" w:type="dxa"/>
            <w:left w:w="108" w:type="dxa"/>
            <w:bottom w:w="0" w:type="dxa"/>
            <w:right w:w="108" w:type="dxa"/>
          </w:tblCellMar>
        </w:tblPrEx>
        <w:trPr>
          <w:trHeight w:val="403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一次性膜式病变细胞采集器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5"/>
                <w:sz w:val="21"/>
                <w:szCs w:val="21"/>
                <w:lang w:bidi="ar"/>
              </w:rPr>
              <w:t>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由软管、可拆浓缩器等部件组成，适用于病理分析前对人体细胞标本的制片。各零部件为医用高分子材料，滤膜为 PET，孔径 5-8μm、8-12μm，圆锥接头与其它外锥头连接处密合性符合 GB/T 1962.1-2001 规定。液体通道各组件间连接强度（不包括可拆浓缩器）,能承受不小于9.81N 的静拉力，持续 10s。提供实物照片。</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Masson三色染色液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Van Gieson 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病理糖原染色液(PAS)</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218.50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病理抗酸染色液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爱先蓝染色液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即用型试剂，pH1.0。</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爱先蓝染色液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即用型试剂，pH2.5。</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弹性纤维染色液（维多利亚蓝法）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粘液卡红染色液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胃幽门螺杆菌染色液（美蓝法）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网状纤维染色液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革兰氏染色液(快速法)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姬姆萨染色液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1×100ml，4×250ml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317.50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甲醇刚果红染色液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六胺银染色液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20Tests/盒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瑞氏-姬姆萨染色液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bl>
    <w:p>
      <w:pPr>
        <w:pStyle w:val="4"/>
        <w:rPr>
          <w:rFonts w:hint="eastAsia" w:ascii="宋体" w:hAnsi="宋体" w:eastAsia="宋体" w:cs="仿宋"/>
          <w:sz w:val="24"/>
          <w:szCs w:val="24"/>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10109" w:type="dxa"/>
        <w:jc w:val="center"/>
        <w:tblLayout w:type="fixed"/>
        <w:tblCellMar>
          <w:top w:w="0" w:type="dxa"/>
          <w:left w:w="108" w:type="dxa"/>
          <w:bottom w:w="0" w:type="dxa"/>
          <w:right w:w="108" w:type="dxa"/>
        </w:tblCellMar>
      </w:tblPr>
      <w:tblGrid>
        <w:gridCol w:w="705"/>
        <w:gridCol w:w="1140"/>
        <w:gridCol w:w="732"/>
        <w:gridCol w:w="3564"/>
        <w:gridCol w:w="3968"/>
      </w:tblGrid>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评分因素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分值</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333333"/>
                <w:kern w:val="0"/>
                <w:szCs w:val="21"/>
              </w:rPr>
              <w:t>评分标准</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说明</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投标报价</w:t>
            </w:r>
          </w:p>
          <w:p>
            <w:pPr>
              <w:widowControl/>
              <w:wordWrap w:val="0"/>
              <w:jc w:val="center"/>
              <w:rPr>
                <w:rFonts w:ascii="宋体" w:hAnsi="宋体" w:eastAsia="宋体" w:cs="宋体"/>
                <w:color w:val="333333"/>
                <w:kern w:val="0"/>
                <w:szCs w:val="21"/>
              </w:rPr>
            </w:pPr>
            <w:r>
              <w:rPr>
                <w:rFonts w:hint="eastAsia" w:ascii="宋体" w:hAnsi="宋体" w:eastAsia="宋体" w:cs="宋体"/>
                <w:color w:val="000000"/>
                <w:kern w:val="0"/>
                <w:szCs w:val="21"/>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投标耗材（试剂）满足招标文件要求且以投标总价最低的为评标基准价，其价格分为30分。其他投标人的价格分统一按照以下公式计算：价格分=(评标基准价／投标总价)×30</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Cs w:val="21"/>
              </w:rPr>
            </w:pPr>
            <w:r>
              <w:rPr>
                <w:rFonts w:hint="eastAsia" w:ascii="宋体" w:hAnsi="宋体" w:eastAsia="宋体" w:cs="宋体"/>
                <w:szCs w:val="21"/>
              </w:rPr>
              <w:t>1.投标总价=单价*预估年度用量之和;</w:t>
            </w:r>
          </w:p>
          <w:p>
            <w:pPr>
              <w:widowControl/>
              <w:jc w:val="left"/>
              <w:textAlignment w:val="cente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产品有细分规格且报价不同，则按照同品类平均价计算单价。</w:t>
            </w:r>
          </w:p>
        </w:tc>
      </w:tr>
      <w:tr>
        <w:tblPrEx>
          <w:tblCellMar>
            <w:top w:w="0" w:type="dxa"/>
            <w:left w:w="108" w:type="dxa"/>
            <w:bottom w:w="0" w:type="dxa"/>
            <w:right w:w="108" w:type="dxa"/>
          </w:tblCellMar>
        </w:tblPrEx>
        <w:trPr>
          <w:trHeight w:val="283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技术指标</w:t>
            </w:r>
          </w:p>
          <w:p>
            <w:pPr>
              <w:widowControl/>
              <w:wordWrap w:val="0"/>
              <w:jc w:val="center"/>
              <w:rPr>
                <w:rFonts w:ascii="宋体" w:hAnsi="宋体" w:eastAsia="宋体" w:cs="宋体"/>
                <w:color w:val="333333"/>
                <w:kern w:val="0"/>
                <w:szCs w:val="21"/>
              </w:rPr>
            </w:pPr>
            <w:r>
              <w:rPr>
                <w:rFonts w:hint="eastAsia" w:ascii="宋体" w:hAnsi="宋体" w:eastAsia="宋体" w:cs="宋体"/>
                <w:color w:val="000000"/>
                <w:kern w:val="0"/>
                <w:szCs w:val="21"/>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rPr>
              <w:t>投标人提供的试剂耗材的检测方法/技术参数完全符合招标文件要求，没有负偏离得50分；“</w:t>
            </w:r>
            <w:r>
              <w:rPr>
                <w:rFonts w:hint="eastAsia" w:ascii="宋体" w:hAnsi="宋体" w:eastAsia="宋体" w:cs="宋体"/>
                <w:color w:val="000000"/>
                <w:kern w:val="0"/>
                <w:szCs w:val="21"/>
                <w:lang w:eastAsia="zh-CN" w:bidi="ar"/>
              </w:rPr>
              <w:t>*</w:t>
            </w:r>
            <w:r>
              <w:rPr>
                <w:rFonts w:hint="eastAsia" w:ascii="宋体" w:hAnsi="宋体" w:eastAsia="宋体" w:cs="宋体"/>
                <w:kern w:val="0"/>
                <w:szCs w:val="21"/>
              </w:rPr>
              <w:t>”条款技术参数不满足招标文件要求（负偏离），一次扣</w:t>
            </w:r>
            <w:r>
              <w:rPr>
                <w:rFonts w:hint="eastAsia" w:ascii="宋体" w:hAnsi="宋体" w:eastAsia="宋体" w:cs="宋体"/>
                <w:kern w:val="0"/>
                <w:szCs w:val="21"/>
                <w:lang w:val="en-US" w:eastAsia="zh-CN"/>
              </w:rPr>
              <w:t>2</w:t>
            </w:r>
            <w:r>
              <w:rPr>
                <w:rFonts w:hint="eastAsia" w:ascii="宋体" w:hAnsi="宋体" w:eastAsia="宋体" w:cs="宋体"/>
                <w:kern w:val="0"/>
                <w:szCs w:val="21"/>
              </w:rPr>
              <w:t>分；非“</w:t>
            </w:r>
            <w:r>
              <w:rPr>
                <w:rFonts w:hint="eastAsia" w:ascii="宋体" w:hAnsi="宋体" w:eastAsia="宋体" w:cs="宋体"/>
                <w:color w:val="000000"/>
                <w:kern w:val="0"/>
                <w:szCs w:val="21"/>
                <w:lang w:eastAsia="zh-CN" w:bidi="ar"/>
              </w:rPr>
              <w:t>*</w:t>
            </w:r>
            <w:r>
              <w:rPr>
                <w:rFonts w:hint="eastAsia" w:ascii="宋体" w:hAnsi="宋体" w:eastAsia="宋体" w:cs="宋体"/>
                <w:kern w:val="0"/>
                <w:szCs w:val="21"/>
              </w:rPr>
              <w:t>”条款技术参数不满足招标文件要求（负偏离），一次扣</w:t>
            </w:r>
            <w:r>
              <w:rPr>
                <w:rFonts w:hint="eastAsia" w:ascii="宋体" w:hAnsi="宋体" w:eastAsia="宋体" w:cs="宋体"/>
                <w:kern w:val="0"/>
                <w:szCs w:val="21"/>
                <w:lang w:val="en-US" w:eastAsia="zh-CN"/>
              </w:rPr>
              <w:t>1</w:t>
            </w:r>
            <w:r>
              <w:rPr>
                <w:rFonts w:hint="eastAsia" w:ascii="宋体" w:hAnsi="宋体" w:eastAsia="宋体" w:cs="宋体"/>
                <w:kern w:val="0"/>
                <w:szCs w:val="21"/>
              </w:rPr>
              <w:t>分，扣完为止。</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kern w:val="0"/>
                <w:szCs w:val="21"/>
              </w:rPr>
            </w:pPr>
            <w:r>
              <w:rPr>
                <w:rFonts w:hint="eastAsia" w:ascii="宋体" w:hAnsi="宋体" w:eastAsia="宋体" w:cs="宋体"/>
                <w:b/>
                <w:bCs/>
                <w:kern w:val="0"/>
                <w:szCs w:val="21"/>
                <w:u w:val="single"/>
              </w:rPr>
              <w:t>“*”条款技术参数供应商须提供技术支撑材料，并在技术响应表中备注技术支撑材料的页码位置</w:t>
            </w:r>
            <w:r>
              <w:rPr>
                <w:rFonts w:hint="eastAsia" w:ascii="宋体" w:hAnsi="宋体" w:eastAsia="宋体" w:cs="宋体"/>
                <w:kern w:val="0"/>
                <w:szCs w:val="21"/>
              </w:rPr>
              <w:t>，便于快速查阅验证：</w:t>
            </w:r>
          </w:p>
          <w:p>
            <w:pPr>
              <w:widowControl/>
              <w:jc w:val="left"/>
              <w:textAlignment w:val="center"/>
            </w:pPr>
            <w:r>
              <w:rPr>
                <w:rFonts w:hint="eastAsia" w:ascii="宋体" w:hAnsi="宋体" w:eastAsia="宋体" w:cs="宋体"/>
                <w:kern w:val="0"/>
                <w:szCs w:val="21"/>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供应商</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能力</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Theme="minorEastAsia" w:hAnsiTheme="minorEastAsia" w:eastAsiaTheme="minorEastAsia" w:cstheme="minorEastAsia"/>
                <w:color w:val="000000"/>
                <w:kern w:val="0"/>
                <w:sz w:val="21"/>
                <w:szCs w:val="21"/>
              </w:rPr>
              <w:t>需提供</w:t>
            </w:r>
            <w:r>
              <w:rPr>
                <w:rFonts w:hint="eastAsia" w:asciiTheme="minorEastAsia" w:hAnsiTheme="minorEastAsia" w:eastAsiaTheme="minorEastAsia" w:cstheme="minorEastAsia"/>
                <w:b/>
                <w:bCs/>
                <w:color w:val="000000"/>
                <w:kern w:val="0"/>
                <w:sz w:val="21"/>
                <w:szCs w:val="21"/>
              </w:rPr>
              <w:t>投标</w:t>
            </w:r>
            <w:r>
              <w:rPr>
                <w:rFonts w:hint="eastAsia" w:asciiTheme="minorEastAsia" w:hAnsiTheme="minorEastAsia" w:eastAsiaTheme="minorEastAsia" w:cstheme="minorEastAsia"/>
                <w:b/>
                <w:bCs/>
                <w:color w:val="000000"/>
                <w:kern w:val="0"/>
                <w:sz w:val="21"/>
                <w:szCs w:val="21"/>
                <w:lang w:eastAsia="zh-CN"/>
              </w:rPr>
              <w:t>人</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年以来</w:t>
            </w:r>
            <w:r>
              <w:rPr>
                <w:rFonts w:hint="eastAsia" w:asciiTheme="minorEastAsia" w:hAnsiTheme="minorEastAsia" w:eastAsiaTheme="minorEastAsia" w:cstheme="minorEastAsia"/>
                <w:color w:val="000000"/>
                <w:kern w:val="0"/>
                <w:sz w:val="21"/>
                <w:szCs w:val="21"/>
                <w:lang w:eastAsia="zh-CN"/>
              </w:rPr>
              <w:t>在</w:t>
            </w:r>
            <w:r>
              <w:rPr>
                <w:rFonts w:hint="eastAsia" w:asciiTheme="minorEastAsia" w:hAnsiTheme="minorEastAsia" w:eastAsiaTheme="minorEastAsia" w:cstheme="minorEastAsia"/>
                <w:color w:val="000000"/>
                <w:kern w:val="0"/>
                <w:sz w:val="21"/>
                <w:szCs w:val="21"/>
              </w:rPr>
              <w:t>国内三甲医疗机构</w:t>
            </w:r>
            <w:r>
              <w:rPr>
                <w:rFonts w:hint="eastAsia" w:asciiTheme="minorEastAsia" w:hAnsiTheme="minorEastAsia" w:eastAsiaTheme="minorEastAsia" w:cstheme="minorEastAsia"/>
                <w:color w:val="000000"/>
                <w:kern w:val="0"/>
                <w:sz w:val="21"/>
                <w:szCs w:val="21"/>
                <w:lang w:eastAsia="zh-CN"/>
              </w:rPr>
              <w:t>销售</w:t>
            </w:r>
            <w:r>
              <w:rPr>
                <w:rFonts w:hint="eastAsia" w:asciiTheme="minorEastAsia" w:hAnsiTheme="minorEastAsia" w:eastAsiaTheme="minorEastAsia" w:cstheme="minorEastAsia"/>
                <w:b/>
                <w:bCs/>
                <w:color w:val="000000"/>
                <w:kern w:val="0"/>
                <w:sz w:val="21"/>
                <w:szCs w:val="21"/>
                <w:lang w:val="en-US" w:eastAsia="zh-CN"/>
              </w:rPr>
              <w:t>响应</w:t>
            </w:r>
            <w:r>
              <w:rPr>
                <w:rFonts w:hint="eastAsia" w:asciiTheme="minorEastAsia" w:hAnsiTheme="minorEastAsia" w:eastAsiaTheme="minorEastAsia" w:cstheme="minorEastAsia"/>
                <w:b/>
                <w:bCs/>
                <w:color w:val="000000"/>
                <w:kern w:val="0"/>
                <w:sz w:val="21"/>
                <w:szCs w:val="21"/>
                <w:lang w:eastAsia="zh-CN"/>
              </w:rPr>
              <w:t>产品</w:t>
            </w:r>
            <w:r>
              <w:rPr>
                <w:rFonts w:hint="eastAsia" w:asciiTheme="minorEastAsia" w:hAnsiTheme="minorEastAsia" w:eastAsiaTheme="minorEastAsia" w:cstheme="minorEastAsia"/>
                <w:color w:val="000000"/>
                <w:kern w:val="0"/>
                <w:sz w:val="21"/>
                <w:szCs w:val="21"/>
                <w:lang w:eastAsia="zh-CN"/>
              </w:rPr>
              <w:t>的业绩证明</w:t>
            </w:r>
            <w:r>
              <w:rPr>
                <w:rFonts w:hint="eastAsia" w:asciiTheme="minorEastAsia" w:hAnsiTheme="minorEastAsia" w:eastAsiaTheme="minorEastAsia" w:cstheme="minorEastAsia"/>
                <w:color w:val="000000"/>
                <w:kern w:val="0"/>
                <w:sz w:val="21"/>
                <w:szCs w:val="21"/>
              </w:rPr>
              <w:t>，每提供1家三甲医疗机构得</w:t>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分，最多</w:t>
            </w:r>
            <w:r>
              <w:rPr>
                <w:rFonts w:hint="eastAsia" w:asciiTheme="minorEastAsia" w:hAnsiTheme="minorEastAsia" w:cstheme="minorEastAsia"/>
                <w:color w:val="000000"/>
                <w:kern w:val="0"/>
                <w:sz w:val="21"/>
                <w:szCs w:val="21"/>
                <w:lang w:val="en-US" w:eastAsia="zh-CN"/>
              </w:rPr>
              <w:t>14</w:t>
            </w:r>
            <w:r>
              <w:rPr>
                <w:rFonts w:hint="eastAsia" w:asciiTheme="minorEastAsia" w:hAnsiTheme="minorEastAsia" w:eastAsiaTheme="minorEastAsia" w:cstheme="minorEastAsia"/>
                <w:color w:val="000000"/>
                <w:kern w:val="0"/>
                <w:sz w:val="21"/>
                <w:szCs w:val="21"/>
              </w:rPr>
              <w:t>分</w:t>
            </w:r>
            <w:r>
              <w:rPr>
                <w:rFonts w:hint="eastAsia" w:asciiTheme="minorEastAsia" w:hAnsiTheme="minorEastAsia" w:eastAsiaTheme="minorEastAsia" w:cstheme="minorEastAsia"/>
                <w:color w:val="000000"/>
                <w:kern w:val="0"/>
                <w:sz w:val="21"/>
                <w:szCs w:val="21"/>
                <w:lang w:eastAsia="zh-CN"/>
              </w:rPr>
              <w:t>。</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需提供以下证明资料如下：</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1.合同复印件（说明：合同无产品明细需提供发票复印件，若发票复印件上也无产品明细则需附销货清单）。</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2.三甲医疗机构证明材料。</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售后服务</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hint="eastAsia" w:ascii="宋体" w:hAnsi="宋体" w:eastAsia="宋体" w:cs="宋体"/>
                <w:color w:val="000000"/>
                <w:kern w:val="0"/>
                <w:szCs w:val="21"/>
              </w:rPr>
              <w:t xml:space="preserve"> </w:t>
            </w:r>
            <w:r>
              <w:rPr>
                <w:rFonts w:hint="eastAsia" w:ascii="宋体" w:hAnsi="宋体" w:eastAsia="宋体" w:cs="宋体"/>
                <w:kern w:val="0"/>
                <w:szCs w:val="21"/>
                <w:lang w:bidi="ar"/>
              </w:rPr>
              <w:t>每缺少一项或提供的方案与本项目无关的扣2分；每有一项存在缺陷或漏洞的，且不利于项目实施的扣1分，分值扣完为止。</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3414"/>
      <w:bookmarkStart w:id="4" w:name="_Toc21163"/>
      <w:bookmarkStart w:id="5" w:name="_Toc923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11076"/>
      <w:bookmarkStart w:id="9" w:name="_Toc12490"/>
      <w:bookmarkStart w:id="10" w:name="_Toc30275"/>
      <w:bookmarkStart w:id="11" w:name="_Toc10689"/>
      <w:bookmarkStart w:id="12" w:name="_Toc5499"/>
      <w:bookmarkStart w:id="13" w:name="_Toc14802"/>
      <w:bookmarkStart w:id="14" w:name="_Toc60"/>
      <w:bookmarkStart w:id="15" w:name="_Toc5208"/>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912"/>
      <w:bookmarkStart w:id="17" w:name="_Toc13021"/>
      <w:bookmarkStart w:id="18" w:name="_Toc7067"/>
      <w:bookmarkStart w:id="19" w:name="_Toc10183"/>
      <w:bookmarkStart w:id="20" w:name="_Toc32214"/>
      <w:bookmarkStart w:id="21" w:name="_Toc9131"/>
      <w:bookmarkStart w:id="22" w:name="_Toc28103"/>
      <w:bookmarkStart w:id="23" w:name="_Toc30724"/>
      <w:bookmarkStart w:id="24" w:name="_Toc26481"/>
      <w:bookmarkStart w:id="25" w:name="_Toc3081"/>
      <w:bookmarkStart w:id="26" w:name="_Toc10948"/>
      <w:bookmarkStart w:id="27" w:name="_Toc3392"/>
      <w:bookmarkStart w:id="28" w:name="_Toc19115"/>
      <w:bookmarkStart w:id="29" w:name="_Toc18879"/>
      <w:bookmarkStart w:id="30" w:name="_Toc30080"/>
      <w:bookmarkStart w:id="31" w:name="_Toc3447"/>
      <w:bookmarkStart w:id="32" w:name="_Toc871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0142"/>
      <w:bookmarkStart w:id="35" w:name="_Toc9042"/>
      <w:bookmarkStart w:id="36" w:name="_Toc30649"/>
      <w:bookmarkStart w:id="37" w:name="_Toc18259"/>
      <w:bookmarkStart w:id="38" w:name="_Toc7249"/>
      <w:bookmarkStart w:id="39" w:name="_Toc30920"/>
      <w:bookmarkStart w:id="40" w:name="_Toc23645"/>
      <w:bookmarkStart w:id="41" w:name="_Toc15196"/>
      <w:bookmarkStart w:id="42" w:name="_Toc22795"/>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83"/>
      <w:bookmarkStart w:id="46" w:name="_Toc24117"/>
      <w:bookmarkStart w:id="47" w:name="_Toc21988"/>
      <w:bookmarkStart w:id="48" w:name="_Toc19600"/>
      <w:bookmarkStart w:id="49" w:name="_Toc4775"/>
      <w:bookmarkStart w:id="50" w:name="_Toc26548"/>
      <w:bookmarkStart w:id="51" w:name="_Toc3534"/>
      <w:bookmarkStart w:id="52" w:name="_Toc25516"/>
      <w:bookmarkStart w:id="53" w:name="_Toc300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3192"/>
      <w:bookmarkStart w:id="55" w:name="_Toc14887"/>
      <w:bookmarkStart w:id="56" w:name="_Toc12333"/>
      <w:bookmarkStart w:id="57" w:name="_Toc32166"/>
      <w:bookmarkStart w:id="58" w:name="_Toc21982"/>
      <w:bookmarkStart w:id="59" w:name="_Toc16764"/>
      <w:bookmarkStart w:id="60" w:name="_Toc16666"/>
      <w:bookmarkStart w:id="61" w:name="_Toc691"/>
      <w:bookmarkStart w:id="62" w:name="_Toc3494"/>
      <w:bookmarkStart w:id="63" w:name="_Toc27376"/>
      <w:bookmarkStart w:id="64" w:name="_Toc22198"/>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25068"/>
      <w:bookmarkStart w:id="67" w:name="_Toc31581"/>
      <w:bookmarkStart w:id="68" w:name="_Toc22606"/>
      <w:bookmarkStart w:id="69" w:name="_Toc14269"/>
      <w:bookmarkStart w:id="70" w:name="_Toc1371"/>
      <w:bookmarkStart w:id="71" w:name="_Toc3943"/>
      <w:bookmarkStart w:id="72" w:name="_Toc11914"/>
      <w:bookmarkStart w:id="73" w:name="_Toc10013"/>
      <w:bookmarkStart w:id="74" w:name="_Toc5412"/>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10600"/>
      <w:bookmarkStart w:id="78" w:name="_Toc29190"/>
      <w:bookmarkStart w:id="79" w:name="_Toc13677"/>
      <w:bookmarkStart w:id="80" w:name="_Toc11489"/>
      <w:bookmarkStart w:id="81" w:name="_Toc2316"/>
      <w:bookmarkStart w:id="82" w:name="_Toc2937"/>
      <w:bookmarkStart w:id="83" w:name="_Toc17108"/>
      <w:bookmarkStart w:id="84" w:name="_Toc18935"/>
      <w:bookmarkStart w:id="85" w:name="_Toc3908"/>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2365"/>
      <w:bookmarkStart w:id="88" w:name="_Toc31638"/>
      <w:bookmarkStart w:id="89" w:name="_Toc12088"/>
      <w:bookmarkStart w:id="90" w:name="_Toc14252"/>
      <w:bookmarkStart w:id="91" w:name="_Toc26756"/>
      <w:bookmarkStart w:id="92" w:name="_Toc21351"/>
      <w:bookmarkStart w:id="93" w:name="_Toc1313"/>
      <w:bookmarkStart w:id="94" w:name="_Toc24122"/>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5894"/>
      <w:bookmarkStart w:id="99" w:name="_Toc23212"/>
      <w:bookmarkStart w:id="100" w:name="_Toc22760"/>
      <w:bookmarkStart w:id="101" w:name="_Toc15083"/>
      <w:bookmarkStart w:id="102" w:name="_Toc27985"/>
      <w:bookmarkStart w:id="103" w:name="_Toc26609"/>
      <w:bookmarkStart w:id="104" w:name="_Toc9398"/>
      <w:bookmarkStart w:id="105" w:name="_Toc27948"/>
      <w:bookmarkStart w:id="106" w:name="_Toc11278"/>
      <w:bookmarkStart w:id="107" w:name="_Toc18046"/>
      <w:bookmarkStart w:id="108" w:name="_Toc19589"/>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4116"/>
      <w:bookmarkStart w:id="111" w:name="_Toc29648"/>
      <w:bookmarkStart w:id="112" w:name="_Toc17741"/>
      <w:bookmarkStart w:id="113" w:name="_Toc24107"/>
      <w:bookmarkStart w:id="114" w:name="_Toc757"/>
      <w:bookmarkStart w:id="115" w:name="_Toc8083"/>
      <w:bookmarkStart w:id="116" w:name="_Toc24671"/>
      <w:bookmarkStart w:id="117" w:name="_Toc8348"/>
      <w:bookmarkStart w:id="118" w:name="_Toc24655"/>
      <w:bookmarkStart w:id="119" w:name="_Toc14546"/>
      <w:bookmarkStart w:id="120" w:name="_Toc27767"/>
      <w:bookmarkStart w:id="121" w:name="_Toc17204"/>
      <w:bookmarkStart w:id="122" w:name="_Toc8940"/>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8524"/>
      <w:bookmarkStart w:id="124" w:name="_Toc10308"/>
      <w:bookmarkStart w:id="125" w:name="_Toc14781"/>
      <w:bookmarkStart w:id="126" w:name="_Toc10945"/>
      <w:bookmarkStart w:id="127" w:name="_Toc22243"/>
      <w:bookmarkStart w:id="128" w:name="_Toc15917"/>
      <w:bookmarkStart w:id="129" w:name="_Toc12682"/>
      <w:bookmarkStart w:id="130" w:name="_Toc2003"/>
      <w:bookmarkStart w:id="131" w:name="_Toc24280"/>
      <w:bookmarkStart w:id="132" w:name="_Toc20745"/>
      <w:bookmarkStart w:id="133" w:name="_Toc10950"/>
      <w:bookmarkStart w:id="134" w:name="_Toc584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7477"/>
    <w:multiLevelType w:val="singleLevel"/>
    <w:tmpl w:val="05CA7477"/>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7953CAB"/>
    <w:rsid w:val="07B925A7"/>
    <w:rsid w:val="0BF815CE"/>
    <w:rsid w:val="0C716207"/>
    <w:rsid w:val="0E911C5D"/>
    <w:rsid w:val="0FD06917"/>
    <w:rsid w:val="103C350A"/>
    <w:rsid w:val="10954EC2"/>
    <w:rsid w:val="12A81059"/>
    <w:rsid w:val="14456F80"/>
    <w:rsid w:val="17CD0B1C"/>
    <w:rsid w:val="195D2073"/>
    <w:rsid w:val="1A37043E"/>
    <w:rsid w:val="2262170C"/>
    <w:rsid w:val="228C2840"/>
    <w:rsid w:val="25644C9D"/>
    <w:rsid w:val="272816FC"/>
    <w:rsid w:val="28203DA9"/>
    <w:rsid w:val="2E8A7141"/>
    <w:rsid w:val="307D687A"/>
    <w:rsid w:val="33BC6502"/>
    <w:rsid w:val="357C4381"/>
    <w:rsid w:val="364F4E7F"/>
    <w:rsid w:val="365344A5"/>
    <w:rsid w:val="396510AC"/>
    <w:rsid w:val="3B4C1295"/>
    <w:rsid w:val="3ED3727D"/>
    <w:rsid w:val="405F3E1B"/>
    <w:rsid w:val="40EE5E6B"/>
    <w:rsid w:val="41EE0E8D"/>
    <w:rsid w:val="44DA14CD"/>
    <w:rsid w:val="48983A5D"/>
    <w:rsid w:val="4AE36A9A"/>
    <w:rsid w:val="4B7A520A"/>
    <w:rsid w:val="4EE10A0C"/>
    <w:rsid w:val="51CB3FD0"/>
    <w:rsid w:val="54407E70"/>
    <w:rsid w:val="5536063D"/>
    <w:rsid w:val="55B75F0E"/>
    <w:rsid w:val="55F211D3"/>
    <w:rsid w:val="577B25E6"/>
    <w:rsid w:val="5C452678"/>
    <w:rsid w:val="5C7C0F06"/>
    <w:rsid w:val="5FEC0FA4"/>
    <w:rsid w:val="61DB5EE7"/>
    <w:rsid w:val="62FA0171"/>
    <w:rsid w:val="637366D0"/>
    <w:rsid w:val="63E72E68"/>
    <w:rsid w:val="64ED5044"/>
    <w:rsid w:val="65C660EF"/>
    <w:rsid w:val="65DA011F"/>
    <w:rsid w:val="66D20681"/>
    <w:rsid w:val="672843F4"/>
    <w:rsid w:val="6A052BEC"/>
    <w:rsid w:val="6A38583D"/>
    <w:rsid w:val="6C0F1984"/>
    <w:rsid w:val="6C3C2942"/>
    <w:rsid w:val="6CAC0A51"/>
    <w:rsid w:val="6CF82393"/>
    <w:rsid w:val="701306BF"/>
    <w:rsid w:val="710D63F2"/>
    <w:rsid w:val="71D57369"/>
    <w:rsid w:val="74D66230"/>
    <w:rsid w:val="75233D75"/>
    <w:rsid w:val="77490A08"/>
    <w:rsid w:val="78BA1DAC"/>
    <w:rsid w:val="799A6260"/>
    <w:rsid w:val="7AA159BD"/>
    <w:rsid w:val="7B777280"/>
    <w:rsid w:val="7BC74393"/>
    <w:rsid w:val="7DFC578F"/>
    <w:rsid w:val="7EE24117"/>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2023-12-14T00:27:32Z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