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黑体" w:hAnsi="黑体" w:eastAsia="黑体" w:cs="黑体"/>
          <w:b/>
          <w:sz w:val="32"/>
          <w:szCs w:val="32"/>
        </w:rPr>
      </w:pPr>
      <w:r>
        <w:rPr>
          <w:rFonts w:hint="eastAsia" w:ascii="黑体" w:hAnsi="黑体" w:eastAsia="黑体" w:cs="黑体"/>
          <w:b/>
          <w:sz w:val="32"/>
          <w:szCs w:val="32"/>
        </w:rPr>
        <w:t>四川省妇幼保健院  四川省妇女儿童医院</w:t>
      </w:r>
    </w:p>
    <w:p>
      <w:pPr>
        <w:spacing w:line="480" w:lineRule="auto"/>
        <w:jc w:val="center"/>
        <w:rPr>
          <w:rFonts w:ascii="黑体" w:hAnsi="黑体" w:eastAsia="黑体" w:cs="黑体"/>
          <w:b/>
          <w:sz w:val="32"/>
          <w:szCs w:val="32"/>
        </w:rPr>
      </w:pPr>
      <w:r>
        <w:rPr>
          <w:rFonts w:hint="eastAsia" w:ascii="黑体" w:hAnsi="黑体" w:eastAsia="黑体" w:cs="黑体"/>
          <w:b/>
          <w:sz w:val="32"/>
          <w:szCs w:val="32"/>
        </w:rPr>
        <w:t>天府院区咖啡吧一体化建设项目(第三次）</w:t>
      </w:r>
    </w:p>
    <w:p>
      <w:pPr>
        <w:pStyle w:val="9"/>
        <w:widowControl/>
        <w:spacing w:before="0" w:beforeAutospacing="0" w:after="136" w:afterAutospacing="0" w:line="27" w:lineRule="atLeast"/>
        <w:jc w:val="center"/>
        <w:rPr>
          <w:rFonts w:ascii="黑体" w:hAnsi="黑体" w:eastAsia="黑体" w:cs="黑体"/>
          <w:b/>
          <w:sz w:val="32"/>
          <w:szCs w:val="32"/>
        </w:rPr>
      </w:pPr>
      <w:r>
        <w:rPr>
          <w:rFonts w:hint="eastAsia" w:ascii="黑体" w:hAnsi="黑体" w:eastAsia="黑体" w:cs="黑体"/>
          <w:b/>
          <w:sz w:val="32"/>
          <w:szCs w:val="32"/>
        </w:rPr>
        <w:t>采购公告</w:t>
      </w:r>
    </w:p>
    <w:p>
      <w:pPr>
        <w:widowControl/>
        <w:jc w:val="center"/>
        <w:rPr>
          <w:rFonts w:ascii="黑体" w:hAnsi="黑体" w:eastAsia="黑体" w:cs="黑体"/>
          <w:b/>
          <w:sz w:val="32"/>
          <w:szCs w:val="32"/>
        </w:rPr>
      </w:pPr>
      <w:r>
        <w:rPr>
          <w:rFonts w:hint="eastAsia" w:ascii="黑体" w:hAnsi="黑体" w:eastAsia="黑体" w:cs="黑体"/>
          <w:b/>
          <w:sz w:val="32"/>
          <w:szCs w:val="32"/>
        </w:rPr>
        <w:t>采购编号： SCFY-HQ202311-012（磋）</w:t>
      </w:r>
    </w:p>
    <w:p>
      <w:pPr>
        <w:pStyle w:val="7"/>
        <w:rPr>
          <w:rFonts w:ascii="宋体" w:hAnsi="宋体" w:cs="宋体"/>
          <w:sz w:val="24"/>
        </w:rPr>
      </w:pPr>
    </w:p>
    <w:p>
      <w:pPr>
        <w:pStyle w:val="9"/>
        <w:widowControl/>
        <w:spacing w:before="0" w:beforeAutospacing="0" w:after="136" w:afterAutospacing="0" w:line="27" w:lineRule="atLeast"/>
        <w:jc w:val="center"/>
        <w:rPr>
          <w:rFonts w:ascii="宋体" w:hAnsi="宋体" w:cs="宋体"/>
        </w:rPr>
      </w:pPr>
    </w:p>
    <w:p>
      <w:pPr>
        <w:pStyle w:val="9"/>
        <w:widowControl/>
        <w:spacing w:before="0" w:beforeAutospacing="0" w:after="136" w:afterAutospacing="0" w:line="360" w:lineRule="auto"/>
        <w:jc w:val="both"/>
        <w:rPr>
          <w:rFonts w:ascii="宋体" w:hAnsi="宋体" w:cs="宋体"/>
          <w:shd w:val="clear" w:color="auto" w:fill="FFFFFF"/>
        </w:rPr>
      </w:pPr>
      <w:r>
        <w:rPr>
          <w:rFonts w:hint="eastAsia" w:ascii="宋体" w:hAnsi="宋体" w:cs="宋体"/>
          <w:shd w:val="clear" w:color="auto" w:fill="FFFFFF"/>
        </w:rPr>
        <w:t>潜在供应商：</w:t>
      </w:r>
    </w:p>
    <w:p>
      <w:pPr>
        <w:spacing w:line="360" w:lineRule="auto"/>
        <w:rPr>
          <w:rFonts w:ascii="宋体" w:hAnsi="宋体" w:cs="宋体"/>
          <w:sz w:val="24"/>
          <w:shd w:val="clear" w:color="auto" w:fill="FFFFFF"/>
        </w:rPr>
      </w:pPr>
      <w:r>
        <w:rPr>
          <w:rFonts w:hint="eastAsia" w:ascii="宋体" w:hAnsi="宋体" w:cs="宋体"/>
          <w:sz w:val="24"/>
          <w:shd w:val="clear" w:color="auto" w:fill="FFFFFF"/>
        </w:rPr>
        <w:t xml:space="preserve">    我院将召开“天府院区咖啡吧一体化建设项目（第三次）”院内采购会议，会议由后勤保障部组织。届时，请投标人准时参加，务必提供公司资质文件（密封盖章）、采购投标文件（密封盖章）、报价一览表（密封盖章）等资料，具体事项如下：</w:t>
      </w:r>
    </w:p>
    <w:p>
      <w:pPr>
        <w:pStyle w:val="9"/>
        <w:widowControl/>
        <w:numPr>
          <w:ilvl w:val="0"/>
          <w:numId w:val="1"/>
        </w:numPr>
        <w:spacing w:beforeAutospacing="0" w:after="136" w:line="360" w:lineRule="auto"/>
        <w:ind w:firstLine="420"/>
        <w:jc w:val="both"/>
        <w:rPr>
          <w:rFonts w:ascii="宋体" w:hAnsi="宋体" w:cs="宋体"/>
          <w:shd w:val="clear" w:color="auto" w:fill="FFFFFF"/>
        </w:rPr>
      </w:pPr>
      <w:r>
        <w:rPr>
          <w:rFonts w:hint="eastAsia" w:ascii="宋体" w:hAnsi="宋体" w:cs="宋体"/>
          <w:shd w:val="clear" w:color="auto" w:fill="FFFFFF"/>
        </w:rPr>
        <w:t>会议时间：</w:t>
      </w:r>
      <w:r>
        <w:rPr>
          <w:rFonts w:hint="eastAsia" w:ascii="宋体" w:hAnsi="宋体" w:cs="宋体"/>
          <w:shd w:val="clear" w:color="auto" w:fill="FFFFFF"/>
          <w:lang w:eastAsia="zh-CN"/>
        </w:rPr>
        <w:t>2023年12月28日（星期四）下午14:30</w:t>
      </w:r>
    </w:p>
    <w:p>
      <w:pPr>
        <w:pStyle w:val="9"/>
        <w:widowControl/>
        <w:numPr>
          <w:ilvl w:val="0"/>
          <w:numId w:val="1"/>
        </w:numPr>
        <w:spacing w:beforeAutospacing="0" w:after="136" w:line="360" w:lineRule="auto"/>
        <w:ind w:firstLine="420"/>
        <w:jc w:val="both"/>
        <w:rPr>
          <w:rFonts w:ascii="宋体" w:hAnsi="宋体" w:cs="宋体"/>
          <w:shd w:val="clear" w:color="auto" w:fill="FFFFFF"/>
        </w:rPr>
      </w:pPr>
      <w:r>
        <w:rPr>
          <w:rFonts w:hint="eastAsia" w:ascii="宋体" w:hAnsi="宋体" w:cs="宋体"/>
          <w:shd w:val="clear" w:color="auto" w:fill="FFFFFF"/>
        </w:rPr>
        <w:t xml:space="preserve">会议地点：四川省妇幼保健院（晋阳院区）-综合楼五楼小会议室      </w:t>
      </w:r>
    </w:p>
    <w:p>
      <w:pPr>
        <w:spacing w:line="360" w:lineRule="auto"/>
        <w:ind w:left="479" w:leftChars="228"/>
        <w:rPr>
          <w:rFonts w:ascii="宋体" w:hAnsi="宋体" w:cs="宋体"/>
          <w:sz w:val="24"/>
          <w:shd w:val="clear" w:color="auto" w:fill="FFFFFF"/>
        </w:rPr>
      </w:pPr>
      <w:r>
        <w:rPr>
          <w:rFonts w:hint="eastAsia" w:ascii="宋体" w:hAnsi="宋体" w:cs="宋体"/>
          <w:sz w:val="24"/>
          <w:shd w:val="clear" w:color="auto" w:fill="FFFFFF"/>
        </w:rPr>
        <w:t>3.采购方式说明：</w:t>
      </w:r>
    </w:p>
    <w:p>
      <w:pPr>
        <w:spacing w:line="360" w:lineRule="auto"/>
        <w:ind w:firstLine="480" w:firstLineChars="200"/>
        <w:rPr>
          <w:rFonts w:ascii="宋体" w:hAnsi="宋体" w:cs="宋体"/>
          <w:sz w:val="24"/>
          <w:shd w:val="clear" w:color="auto" w:fill="FFFFFF"/>
        </w:rPr>
      </w:pPr>
      <w:r>
        <w:rPr>
          <w:rFonts w:hint="eastAsia" w:ascii="宋体" w:hAnsi="宋体" w:cs="宋体"/>
          <w:sz w:val="24"/>
          <w:shd w:val="clear" w:color="auto" w:fill="FFFFFF"/>
        </w:rPr>
        <w:t>3.1本次采购拟采用竞争性磋商方式，评审小组成员由后勤保障部、院内专家及院外专家共5名人员组成。根据投标人制作的《采购投标文件》(一式5份)、最终报价函以及磋商情况予以评标，推荐成交投标人。评审结束7个工作日内，医院将中标结果通知投标人。</w:t>
      </w:r>
    </w:p>
    <w:p>
      <w:pPr>
        <w:spacing w:line="360" w:lineRule="auto"/>
        <w:ind w:left="479" w:leftChars="228"/>
        <w:rPr>
          <w:rFonts w:ascii="宋体" w:hAnsi="宋体" w:cs="宋体"/>
          <w:sz w:val="24"/>
          <w:shd w:val="clear" w:color="auto" w:fill="FFFFFF"/>
        </w:rPr>
      </w:pPr>
      <w:r>
        <w:rPr>
          <w:rFonts w:hint="eastAsia" w:ascii="宋体" w:hAnsi="宋体" w:cs="宋体"/>
          <w:sz w:val="24"/>
          <w:shd w:val="clear" w:color="auto" w:fill="FFFFFF"/>
        </w:rPr>
        <w:t>3.2请仔细阅读《采购文件》的相关内容，如有贻误，后果自负。</w:t>
      </w:r>
    </w:p>
    <w:p>
      <w:pPr>
        <w:spacing w:line="360" w:lineRule="auto"/>
        <w:ind w:firstLine="480" w:firstLineChars="200"/>
        <w:rPr>
          <w:rFonts w:ascii="宋体" w:hAnsi="宋体" w:cs="宋体"/>
          <w:sz w:val="24"/>
          <w:shd w:val="clear" w:color="auto" w:fill="FFFFFF"/>
        </w:rPr>
      </w:pPr>
      <w:r>
        <w:rPr>
          <w:rFonts w:hint="eastAsia" w:ascii="宋体" w:hAnsi="宋体" w:cs="宋体"/>
          <w:sz w:val="24"/>
          <w:shd w:val="clear" w:color="auto" w:fill="FFFFFF"/>
        </w:rPr>
        <w:t>3.3如果本次采购项目，存在不符合市场调查、资格主体异常、过程违规等情况，可以暂不采购，无义务向投标人解释具体原因。</w:t>
      </w:r>
    </w:p>
    <w:p>
      <w:pPr>
        <w:spacing w:line="360" w:lineRule="auto"/>
        <w:ind w:firstLine="480" w:firstLineChars="200"/>
        <w:rPr>
          <w:rFonts w:ascii="宋体" w:hAnsi="宋体" w:cs="宋体"/>
          <w:sz w:val="24"/>
          <w:shd w:val="clear" w:color="auto" w:fill="FFFFFF"/>
        </w:rPr>
      </w:pPr>
      <w:r>
        <w:rPr>
          <w:rFonts w:hint="eastAsia" w:ascii="宋体" w:hAnsi="宋体" w:cs="宋体"/>
          <w:sz w:val="24"/>
          <w:shd w:val="clear" w:color="auto" w:fill="FFFFFF"/>
        </w:rPr>
        <w:t>4.</w:t>
      </w:r>
      <w:r>
        <w:rPr>
          <w:rFonts w:hint="eastAsia" w:ascii="宋体" w:hAnsi="宋体" w:cs="宋体"/>
          <w:b/>
          <w:bCs/>
          <w:sz w:val="24"/>
          <w:shd w:val="clear" w:color="auto" w:fill="FFFFFF"/>
        </w:rPr>
        <w:t>投标人的要求（其中4.2.1-4.2.4为资格证明文件）（需单独密封）：</w:t>
      </w:r>
      <w:r>
        <w:rPr>
          <w:rFonts w:hint="eastAsia" w:ascii="宋体" w:hAnsi="宋体" w:cs="宋体"/>
          <w:sz w:val="24"/>
          <w:shd w:val="clear" w:color="auto" w:fill="FFFFFF"/>
        </w:rPr>
        <w:br w:type="textWrapping"/>
      </w:r>
      <w:r>
        <w:rPr>
          <w:rFonts w:hint="eastAsia" w:ascii="宋体" w:hAnsi="宋体" w:cs="宋体"/>
          <w:sz w:val="24"/>
          <w:shd w:val="clear" w:color="auto" w:fill="FFFFFF"/>
        </w:rPr>
        <w:t>   4.1在中国境内注册并具有独立法人资格的合法企业；</w:t>
      </w:r>
      <w:r>
        <w:rPr>
          <w:rFonts w:hint="eastAsia" w:ascii="宋体" w:hAnsi="宋体" w:cs="宋体"/>
          <w:sz w:val="24"/>
          <w:shd w:val="clear" w:color="auto" w:fill="FFFFFF"/>
        </w:rPr>
        <w:br w:type="textWrapping"/>
      </w:r>
      <w:r>
        <w:rPr>
          <w:rFonts w:hint="eastAsia" w:ascii="宋体" w:hAnsi="宋体" w:cs="宋体"/>
          <w:sz w:val="24"/>
          <w:shd w:val="clear" w:color="auto" w:fill="FFFFFF"/>
        </w:rPr>
        <w:t>   4.2投标人应提供以下资料(复印件加盖鲜章)：</w:t>
      </w:r>
      <w:r>
        <w:rPr>
          <w:rFonts w:hint="eastAsia" w:ascii="宋体" w:hAnsi="宋体" w:cs="宋体"/>
          <w:sz w:val="24"/>
          <w:shd w:val="clear" w:color="auto" w:fill="FFFFFF"/>
        </w:rPr>
        <w:br w:type="textWrapping"/>
      </w:r>
      <w:r>
        <w:rPr>
          <w:rFonts w:hint="eastAsia" w:ascii="宋体" w:hAnsi="宋体" w:cs="宋体"/>
          <w:sz w:val="24"/>
          <w:shd w:val="clear" w:color="auto" w:fill="FFFFFF"/>
        </w:rPr>
        <w:t>   4.2.1有效的三证合一营业执照（副本）；</w:t>
      </w:r>
      <w:r>
        <w:rPr>
          <w:rFonts w:hint="eastAsia" w:ascii="宋体" w:hAnsi="宋体" w:cs="宋体"/>
          <w:sz w:val="24"/>
          <w:shd w:val="clear" w:color="auto" w:fill="FFFFFF"/>
        </w:rPr>
        <w:br w:type="textWrapping"/>
      </w:r>
      <w:r>
        <w:rPr>
          <w:rFonts w:hint="eastAsia" w:ascii="宋体" w:hAnsi="宋体" w:cs="宋体"/>
          <w:sz w:val="24"/>
          <w:shd w:val="clear" w:color="auto" w:fill="FFFFFF"/>
        </w:rPr>
        <w:t>   4.2.2法定代表人身份授权书（原件，格式见附件2-2）,法定代表人和经办人身份证复印件；</w:t>
      </w:r>
    </w:p>
    <w:p>
      <w:pPr>
        <w:spacing w:line="360" w:lineRule="auto"/>
        <w:ind w:firstLine="480" w:firstLineChars="200"/>
        <w:rPr>
          <w:rFonts w:ascii="宋体" w:hAnsi="宋体" w:cs="宋体"/>
          <w:sz w:val="24"/>
          <w:shd w:val="clear" w:color="auto" w:fill="FFFFFF"/>
        </w:rPr>
      </w:pPr>
      <w:r>
        <w:rPr>
          <w:rFonts w:hint="eastAsia" w:ascii="宋体" w:hAnsi="宋体" w:cs="宋体"/>
          <w:sz w:val="24"/>
          <w:shd w:val="clear" w:color="auto" w:fill="FFFFFF"/>
        </w:rPr>
        <w:t>4.2.3</w:t>
      </w:r>
      <w:r>
        <w:rPr>
          <w:rFonts w:hint="eastAsia" w:ascii="宋体" w:hAnsi="宋体" w:cs="宋体"/>
          <w:sz w:val="24"/>
        </w:rPr>
        <w:t>投标人必须具有有效期内建筑工程施工总承包三级及以上资质证书；</w:t>
      </w:r>
    </w:p>
    <w:p>
      <w:pPr>
        <w:spacing w:line="360" w:lineRule="auto"/>
        <w:ind w:firstLine="480" w:firstLineChars="200"/>
        <w:rPr>
          <w:rFonts w:ascii="宋体" w:hAnsi="宋体" w:cs="宋体"/>
          <w:sz w:val="24"/>
        </w:rPr>
      </w:pPr>
      <w:r>
        <w:rPr>
          <w:rFonts w:hint="eastAsia" w:ascii="宋体" w:hAnsi="宋体" w:cs="宋体"/>
          <w:sz w:val="24"/>
          <w:shd w:val="clear" w:color="auto" w:fill="FFFFFF"/>
        </w:rPr>
        <w:t xml:space="preserve">4.2.4 </w:t>
      </w:r>
      <w:r>
        <w:rPr>
          <w:rFonts w:hint="eastAsia" w:ascii="宋体" w:hAnsi="宋体" w:cs="宋体"/>
          <w:sz w:val="24"/>
        </w:rPr>
        <w:t>投标人必须具备有效期内的《安全生产许可证》；</w:t>
      </w:r>
    </w:p>
    <w:p>
      <w:pPr>
        <w:pStyle w:val="9"/>
        <w:widowControl/>
        <w:spacing w:before="0" w:beforeAutospacing="0" w:after="136" w:afterAutospacing="0" w:line="360" w:lineRule="auto"/>
        <w:ind w:firstLine="420"/>
        <w:jc w:val="both"/>
        <w:rPr>
          <w:rFonts w:ascii="宋体" w:hAnsi="宋体" w:cs="宋体"/>
          <w:shd w:val="clear" w:color="auto" w:fill="FFFFFF"/>
        </w:rPr>
      </w:pPr>
      <w:r>
        <w:rPr>
          <w:rFonts w:hint="eastAsia" w:ascii="宋体" w:hAnsi="宋体" w:cs="宋体"/>
          <w:shd w:val="clear" w:color="auto" w:fill="FFFFFF"/>
        </w:rPr>
        <w:t>4.2.5具有良好的商业信誉和健全的财务会计制度，投标人提供承诺函（见附件2-5）；</w:t>
      </w:r>
      <w:r>
        <w:rPr>
          <w:rFonts w:hint="eastAsia" w:ascii="宋体" w:hAnsi="宋体" w:cs="宋体"/>
          <w:shd w:val="clear" w:color="auto" w:fill="FFFFFF"/>
        </w:rPr>
        <w:br w:type="textWrapping"/>
      </w:r>
      <w:r>
        <w:rPr>
          <w:rFonts w:hint="eastAsia" w:ascii="宋体" w:hAnsi="宋体" w:cs="宋体"/>
          <w:shd w:val="clear" w:color="auto" w:fill="FFFFFF"/>
        </w:rPr>
        <w:t>   4.2.6具有履行合同所必须的设备和专业技术能力，投标人提供承诺函（见附件2-6）。</w:t>
      </w:r>
      <w:r>
        <w:rPr>
          <w:rFonts w:hint="eastAsia" w:ascii="宋体" w:hAnsi="宋体" w:cs="宋体"/>
          <w:shd w:val="clear" w:color="auto" w:fill="FFFFFF"/>
        </w:rPr>
        <w:br w:type="textWrapping"/>
      </w:r>
      <w:r>
        <w:rPr>
          <w:rFonts w:hint="eastAsia" w:ascii="宋体" w:hAnsi="宋体" w:cs="宋体"/>
          <w:shd w:val="clear" w:color="auto" w:fill="FFFFFF"/>
        </w:rPr>
        <w:t>   4.2.7投标人应能够按照采购人要求及时签署合同，按照购销合同规定的品牌、产地、质量、价格、规格、有效期等。</w:t>
      </w:r>
      <w:r>
        <w:rPr>
          <w:rFonts w:hint="eastAsia" w:ascii="宋体" w:hAnsi="宋体" w:cs="宋体"/>
          <w:shd w:val="clear" w:color="auto" w:fill="FFFFFF"/>
        </w:rPr>
        <w:br w:type="textWrapping"/>
      </w:r>
      <w:r>
        <w:rPr>
          <w:rFonts w:hint="eastAsia" w:ascii="宋体" w:hAnsi="宋体" w:cs="宋体"/>
          <w:shd w:val="clear" w:color="auto" w:fill="FFFFFF"/>
        </w:rPr>
        <w:t>  4.2.8投标人应在采购文件书中按采购公告的规定和要求附上所有的资格证明文件，要求提供复印件的必须加盖单位印章，并在必要时提供原件备查。</w:t>
      </w:r>
      <w:r>
        <w:rPr>
          <w:rFonts w:hint="eastAsia" w:ascii="宋体" w:hAnsi="宋体" w:cs="宋体"/>
          <w:shd w:val="clear" w:color="auto" w:fill="FFFFFF"/>
        </w:rPr>
        <w:br w:type="textWrapping"/>
      </w:r>
      <w:r>
        <w:rPr>
          <w:rFonts w:hint="eastAsia" w:ascii="宋体" w:hAnsi="宋体" w:cs="宋体"/>
          <w:shd w:val="clear" w:color="auto" w:fill="FFFFFF"/>
        </w:rPr>
        <w:t>5.报价要求：</w:t>
      </w:r>
    </w:p>
    <w:p>
      <w:pPr>
        <w:pStyle w:val="9"/>
        <w:widowControl/>
        <w:spacing w:before="0" w:beforeAutospacing="0" w:after="136" w:afterAutospacing="0" w:line="360" w:lineRule="auto"/>
        <w:ind w:firstLine="420"/>
        <w:jc w:val="both"/>
        <w:rPr>
          <w:rFonts w:ascii="宋体" w:hAnsi="宋体" w:cs="宋体"/>
          <w:shd w:val="clear" w:color="auto" w:fill="FFFFFF"/>
        </w:rPr>
      </w:pPr>
      <w:r>
        <w:rPr>
          <w:rFonts w:hint="eastAsia" w:ascii="宋体" w:hAnsi="宋体" w:cs="宋体"/>
          <w:shd w:val="clear" w:color="auto" w:fill="FFFFFF"/>
        </w:rPr>
        <w:t xml:space="preserve">5.1以人民币报价；报价请按照“报价一览表”（格式见附件2-1）的格式填写; </w:t>
      </w:r>
    </w:p>
    <w:p>
      <w:pPr>
        <w:pStyle w:val="9"/>
        <w:widowControl/>
        <w:spacing w:before="0" w:beforeAutospacing="0" w:after="136" w:afterAutospacing="0" w:line="360" w:lineRule="auto"/>
        <w:ind w:firstLine="420"/>
        <w:jc w:val="both"/>
        <w:rPr>
          <w:rFonts w:ascii="宋体" w:hAnsi="宋体" w:cs="宋体"/>
          <w:shd w:val="clear" w:color="auto" w:fill="FFFFFF"/>
        </w:rPr>
      </w:pPr>
      <w:r>
        <w:rPr>
          <w:rFonts w:hint="eastAsia" w:ascii="宋体" w:hAnsi="宋体" w:cs="宋体"/>
          <w:shd w:val="clear" w:color="auto" w:fill="FFFFFF"/>
        </w:rPr>
        <w:t>5.2报价表中的价格应包括劳务、培训、保险、税等各项费用，即参会供应商对采购方的实际供应价。</w:t>
      </w:r>
      <w:r>
        <w:rPr>
          <w:rFonts w:hint="eastAsia" w:ascii="宋体" w:hAnsi="宋体" w:cs="宋体"/>
          <w:shd w:val="clear" w:color="auto" w:fill="FFFFFF"/>
        </w:rPr>
        <w:br w:type="textWrapping"/>
      </w:r>
      <w:r>
        <w:rPr>
          <w:rFonts w:hint="eastAsia" w:ascii="宋体" w:hAnsi="宋体" w:cs="宋体"/>
          <w:shd w:val="clear" w:color="auto" w:fill="FFFFFF"/>
        </w:rPr>
        <w:t>   5.3报价原则：原则上所有投标品种报价不得高于四川省内其他地市中标价格或医疗机构近两年的历史采购最低价，投标人提供承诺函。</w:t>
      </w:r>
    </w:p>
    <w:p>
      <w:pPr>
        <w:pStyle w:val="9"/>
        <w:widowControl/>
        <w:spacing w:before="0" w:beforeAutospacing="0" w:after="136" w:afterAutospacing="0" w:line="360" w:lineRule="auto"/>
        <w:jc w:val="both"/>
        <w:rPr>
          <w:rFonts w:ascii="宋体" w:hAnsi="宋体" w:cs="宋体"/>
          <w:shd w:val="clear" w:color="auto" w:fill="FFFFFF"/>
        </w:rPr>
      </w:pPr>
      <w:r>
        <w:rPr>
          <w:rFonts w:hint="eastAsia" w:ascii="宋体" w:hAnsi="宋体" w:cs="宋体"/>
          <w:shd w:val="clear" w:color="auto" w:fill="FFFFFF"/>
        </w:rPr>
        <w:t>6.付款方式：按照合同约定进度付款。</w:t>
      </w:r>
    </w:p>
    <w:p>
      <w:pPr>
        <w:pStyle w:val="9"/>
        <w:widowControl/>
        <w:spacing w:before="0" w:beforeAutospacing="0" w:after="136" w:afterAutospacing="0" w:line="360" w:lineRule="auto"/>
        <w:jc w:val="both"/>
        <w:rPr>
          <w:rFonts w:ascii="宋体" w:hAnsi="宋体" w:cs="宋体"/>
          <w:shd w:val="clear" w:color="auto" w:fill="FFFFFF"/>
        </w:rPr>
      </w:pPr>
      <w:r>
        <w:rPr>
          <w:rFonts w:hint="eastAsia" w:ascii="宋体" w:hAnsi="宋体" w:cs="宋体"/>
          <w:shd w:val="clear" w:color="auto" w:fill="FFFFFF"/>
        </w:rPr>
        <w:t>7.拟参会供应商需于</w:t>
      </w:r>
      <w:r>
        <w:rPr>
          <w:rFonts w:hint="eastAsia" w:ascii="宋体" w:hAnsi="宋体" w:cs="宋体"/>
          <w:shd w:val="clear" w:color="auto" w:fill="FFFFFF"/>
          <w:lang w:eastAsia="zh-CN"/>
        </w:rPr>
        <w:t>2023年12月28日（星期四）下午14:30</w:t>
      </w:r>
      <w:r>
        <w:rPr>
          <w:rFonts w:hint="eastAsia" w:ascii="宋体" w:hAnsi="宋体" w:cs="宋体"/>
          <w:shd w:val="clear" w:color="auto" w:fill="FFFFFF"/>
        </w:rPr>
        <w:t>前提供（4.2.1-4.2.4）条要求的资质证明文件，进行资格审查。</w:t>
      </w:r>
    </w:p>
    <w:p>
      <w:pPr>
        <w:pStyle w:val="9"/>
        <w:widowControl/>
        <w:spacing w:before="0" w:beforeAutospacing="0" w:after="136" w:afterAutospacing="0" w:line="360" w:lineRule="auto"/>
        <w:ind w:firstLine="480" w:firstLineChars="200"/>
        <w:jc w:val="both"/>
        <w:rPr>
          <w:rFonts w:ascii="宋体" w:hAnsi="宋体" w:cs="宋体"/>
          <w:shd w:val="clear" w:color="auto" w:fill="FFFFFF"/>
        </w:rPr>
      </w:pPr>
      <w:r>
        <w:rPr>
          <w:rFonts w:hint="eastAsia" w:ascii="宋体" w:hAnsi="宋体" w:cs="宋体"/>
          <w:shd w:val="clear" w:color="auto" w:fill="FFFFFF"/>
        </w:rPr>
        <w:t>8.会议安排：</w:t>
      </w:r>
      <w:r>
        <w:rPr>
          <w:rFonts w:hint="eastAsia" w:ascii="宋体" w:hAnsi="宋体" w:cs="宋体"/>
          <w:shd w:val="clear" w:color="auto" w:fill="FFFFFF"/>
        </w:rPr>
        <w:br w:type="textWrapping"/>
      </w:r>
      <w:r>
        <w:rPr>
          <w:rFonts w:hint="eastAsia" w:ascii="宋体" w:hAnsi="宋体" w:cs="宋体"/>
          <w:shd w:val="clear" w:color="auto" w:fill="FFFFFF"/>
        </w:rPr>
        <w:t xml:space="preserve">    </w:t>
      </w:r>
      <w:r>
        <w:rPr>
          <w:rFonts w:hint="eastAsia" w:ascii="宋体" w:hAnsi="宋体" w:cs="宋体"/>
          <w:b/>
          <w:bCs/>
          <w:shd w:val="clear" w:color="auto" w:fill="FFFFFF"/>
        </w:rPr>
        <w:t>8.1　</w:t>
      </w:r>
      <w:r>
        <w:rPr>
          <w:rFonts w:hint="eastAsia" w:ascii="宋体" w:hAnsi="宋体" w:cs="宋体"/>
          <w:b/>
          <w:bCs/>
          <w:shd w:val="clear" w:color="auto" w:fill="FFFFFF"/>
          <w:lang w:eastAsia="zh-CN"/>
        </w:rPr>
        <w:t>2023年12月28日（星期四）下午14:30</w:t>
      </w:r>
      <w:r>
        <w:rPr>
          <w:rFonts w:hint="eastAsia" w:ascii="宋体" w:hAnsi="宋体" w:cs="宋体"/>
          <w:b/>
          <w:bCs/>
          <w:shd w:val="clear" w:color="auto" w:fill="FFFFFF"/>
        </w:rPr>
        <w:t>以前，投标人必须携带“采购资质文件”（一式一份，密封盖章）、“报价一览表”（一式一份，密封盖章）、《采购投标文件》（一式五份，采购投标文件正本1份,副本4份，并分别在右上角标明“正本”和“副本”字样）密封盖章（按采购公告中产品分包密封）至综合楼五楼小会议室。采购文件必须在投标截止时间前送达采购公告要求地点。逾期送达或密封不符合采购公告规定和未报送“报价一览表”的恕不接受。</w:t>
      </w:r>
      <w:r>
        <w:rPr>
          <w:rFonts w:hint="eastAsia" w:ascii="宋体" w:hAnsi="宋体" w:cs="宋体"/>
          <w:b/>
          <w:bCs/>
          <w:shd w:val="clear" w:color="auto" w:fill="FFFFFF"/>
        </w:rPr>
        <w:br w:type="textWrapping"/>
      </w:r>
      <w:r>
        <w:rPr>
          <w:rFonts w:hint="eastAsia" w:ascii="宋体" w:hAnsi="宋体" w:cs="宋体"/>
          <w:shd w:val="clear" w:color="auto" w:fill="FFFFFF"/>
        </w:rPr>
        <w:t>    8.2后勤保障部负责组织评审专家审核投标人的资格，并填写《院内自行采购资格审查表》。</w:t>
      </w:r>
      <w:r>
        <w:rPr>
          <w:rFonts w:hint="eastAsia" w:ascii="宋体" w:hAnsi="宋体" w:cs="宋体"/>
          <w:shd w:val="clear" w:color="auto" w:fill="FFFFFF"/>
        </w:rPr>
        <w:br w:type="textWrapping"/>
      </w:r>
      <w:r>
        <w:rPr>
          <w:rFonts w:hint="eastAsia" w:ascii="宋体" w:hAnsi="宋体" w:cs="宋体"/>
          <w:shd w:val="clear" w:color="auto" w:fill="FFFFFF"/>
        </w:rPr>
        <w:t>    8.3会前，后勤保障部组织成立磋商小组，主持人宣布磋商步骤，强调磋商工作纪律，介绍总体目标、工作安排、分工、磋商文件、确定成交供应商的方法和标准。</w:t>
      </w:r>
      <w:r>
        <w:rPr>
          <w:rFonts w:hint="eastAsia" w:ascii="宋体" w:hAnsi="宋体" w:cs="宋体"/>
          <w:shd w:val="clear" w:color="auto" w:fill="FFFFFF"/>
        </w:rPr>
        <w:br w:type="textWrapping"/>
      </w:r>
      <w:r>
        <w:rPr>
          <w:rFonts w:hint="eastAsia" w:ascii="宋体" w:hAnsi="宋体" w:cs="宋体"/>
          <w:shd w:val="clear" w:color="auto" w:fill="FFFFFF"/>
        </w:rPr>
        <w:t>    8.4　</w:t>
      </w:r>
      <w:r>
        <w:rPr>
          <w:rFonts w:hint="eastAsia" w:ascii="宋体" w:hAnsi="宋体" w:cs="宋体"/>
          <w:shd w:val="clear" w:color="auto" w:fill="FFFFFF"/>
          <w:lang w:eastAsia="zh-CN"/>
        </w:rPr>
        <w:t>2023年12月28日（星期四）下午14:30</w:t>
      </w:r>
      <w:r>
        <w:rPr>
          <w:rFonts w:hint="eastAsia" w:ascii="宋体" w:hAnsi="宋体" w:cs="宋体"/>
          <w:shd w:val="clear" w:color="auto" w:fill="FFFFFF"/>
        </w:rPr>
        <w:t>，投标人进入会场，后勤保障部通报资格审查情况，宣布参加评审的投标商名单；</w:t>
      </w:r>
      <w:r>
        <w:rPr>
          <w:rFonts w:hint="eastAsia" w:ascii="宋体" w:hAnsi="宋体" w:cs="宋体"/>
          <w:shd w:val="clear" w:color="auto" w:fill="FFFFFF"/>
        </w:rPr>
        <w:br w:type="textWrapping"/>
      </w:r>
      <w:r>
        <w:rPr>
          <w:rFonts w:hint="eastAsia" w:ascii="宋体" w:hAnsi="宋体" w:cs="宋体"/>
          <w:shd w:val="clear" w:color="auto" w:fill="FFFFFF"/>
        </w:rPr>
        <w:t>   8.5后勤保障部汇总填写《采购评审报告》，逐级上报。7个工作日内，将磋商结果在医院官方网站上公示。</w:t>
      </w:r>
      <w:r>
        <w:rPr>
          <w:rFonts w:hint="eastAsia" w:ascii="宋体" w:hAnsi="宋体" w:cs="宋体"/>
          <w:shd w:val="clear" w:color="auto" w:fill="FFFFFF"/>
        </w:rPr>
        <w:br w:type="textWrapping"/>
      </w:r>
      <w:r>
        <w:rPr>
          <w:rFonts w:hint="eastAsia" w:ascii="宋体" w:hAnsi="宋体" w:cs="宋体"/>
          <w:shd w:val="clear" w:color="auto" w:fill="FFFFFF"/>
        </w:rPr>
        <w:t xml:space="preserve">   9.其它说明：</w:t>
      </w:r>
      <w:r>
        <w:rPr>
          <w:rFonts w:hint="eastAsia" w:ascii="宋体" w:hAnsi="宋体" w:cs="宋体"/>
          <w:shd w:val="clear" w:color="auto" w:fill="FFFFFF"/>
        </w:rPr>
        <w:br w:type="textWrapping"/>
      </w:r>
      <w:r>
        <w:rPr>
          <w:rFonts w:hint="eastAsia" w:ascii="宋体" w:hAnsi="宋体" w:cs="宋体"/>
          <w:shd w:val="clear" w:color="auto" w:fill="FFFFFF"/>
        </w:rPr>
        <w:t>  9.1采购投标文件(一式五份)的编制、装订：根据要求及自身实际用A4纸编制，严格按照《采购投标文件装订顺序》（见附件3）的要求进行装订。提供的所有资料须加盖鲜章，并按要求密封。</w:t>
      </w:r>
      <w:r>
        <w:rPr>
          <w:rFonts w:hint="eastAsia" w:ascii="宋体" w:hAnsi="宋体" w:cs="宋体"/>
          <w:shd w:val="clear" w:color="auto" w:fill="FFFFFF"/>
        </w:rPr>
        <w:br w:type="textWrapping"/>
      </w:r>
      <w:r>
        <w:rPr>
          <w:rFonts w:hint="eastAsia" w:ascii="宋体" w:hAnsi="宋体" w:cs="宋体"/>
          <w:shd w:val="clear" w:color="auto" w:fill="FFFFFF"/>
        </w:rPr>
        <w:t>  9.2确定的成交投标人需在约定时间内完成此次采购项目交付。</w:t>
      </w:r>
      <w:r>
        <w:rPr>
          <w:rFonts w:hint="eastAsia" w:ascii="宋体" w:hAnsi="宋体" w:cs="宋体"/>
          <w:shd w:val="clear" w:color="auto" w:fill="FFFFFF"/>
        </w:rPr>
        <w:br w:type="textWrapping"/>
      </w:r>
      <w:r>
        <w:rPr>
          <w:rFonts w:hint="eastAsia" w:ascii="宋体" w:hAnsi="宋体" w:cs="宋体"/>
          <w:shd w:val="clear" w:color="auto" w:fill="FFFFFF"/>
        </w:rPr>
        <w:t>  9.3</w:t>
      </w:r>
      <w:r>
        <w:rPr>
          <w:rFonts w:hint="eastAsia" w:ascii="宋体" w:hAnsi="宋体" w:cs="宋体"/>
        </w:rPr>
        <w:t>项目</w:t>
      </w:r>
      <w:r>
        <w:rPr>
          <w:rFonts w:hint="eastAsia" w:ascii="宋体" w:hAnsi="宋体" w:cs="宋体"/>
          <w:shd w:val="clear" w:color="auto" w:fill="FFFFFF"/>
        </w:rPr>
        <w:t>参数、要求（见附件1）及报价表的解释权归后勤保障部，联系人：胡老师028-65978223。</w:t>
      </w:r>
      <w:r>
        <w:rPr>
          <w:rFonts w:hint="eastAsia" w:ascii="宋体" w:hAnsi="宋体" w:cs="宋体"/>
          <w:shd w:val="clear" w:color="auto" w:fill="FFFFFF"/>
        </w:rPr>
        <w:br w:type="textWrapping"/>
      </w:r>
      <w:r>
        <w:rPr>
          <w:rFonts w:hint="eastAsia" w:ascii="宋体" w:hAnsi="宋体" w:cs="宋体"/>
          <w:shd w:val="clear" w:color="auto" w:fill="FFFFFF"/>
        </w:rPr>
        <w:t>  9.4后勤保障部采购事宜联系人：罗老师028-65978238。</w:t>
      </w:r>
    </w:p>
    <w:p>
      <w:pPr>
        <w:pStyle w:val="9"/>
        <w:widowControl/>
        <w:spacing w:before="0" w:beforeAutospacing="0" w:after="136" w:afterAutospacing="0" w:line="360" w:lineRule="auto"/>
        <w:ind w:firstLine="240" w:firstLineChars="100"/>
        <w:jc w:val="both"/>
        <w:rPr>
          <w:rFonts w:ascii="宋体" w:hAnsi="宋体" w:cs="宋体"/>
          <w:shd w:val="clear" w:color="auto" w:fill="FFFFFF"/>
        </w:rPr>
      </w:pPr>
      <w:r>
        <w:rPr>
          <w:rFonts w:hint="eastAsia" w:ascii="宋体" w:hAnsi="宋体" w:cs="宋体"/>
          <w:shd w:val="clear" w:color="auto" w:fill="FFFFFF"/>
        </w:rPr>
        <w:t>10.参会供应商法人或授权代表需携带身份证原件。</w:t>
      </w:r>
      <w:r>
        <w:rPr>
          <w:rFonts w:hint="eastAsia" w:ascii="宋体" w:hAnsi="宋体" w:cs="宋体"/>
          <w:shd w:val="clear" w:color="auto" w:fill="FFFFFF"/>
        </w:rPr>
        <w:br w:type="textWrapping"/>
      </w:r>
    </w:p>
    <w:p>
      <w:pPr>
        <w:pStyle w:val="9"/>
        <w:widowControl/>
        <w:spacing w:before="0" w:beforeAutospacing="0" w:after="136" w:afterAutospacing="0" w:line="360" w:lineRule="auto"/>
        <w:jc w:val="both"/>
        <w:rPr>
          <w:rFonts w:ascii="宋体" w:hAnsi="宋体" w:cs="宋体"/>
          <w:shd w:val="clear" w:color="auto" w:fill="FFFFFF"/>
        </w:rPr>
      </w:pPr>
      <w:r>
        <w:rPr>
          <w:rFonts w:hint="eastAsia" w:ascii="宋体" w:hAnsi="宋体" w:cs="宋体"/>
          <w:shd w:val="clear" w:color="auto" w:fill="FFFFFF"/>
        </w:rPr>
        <w:t>附件：</w:t>
      </w:r>
    </w:p>
    <w:p>
      <w:pPr>
        <w:spacing w:line="360" w:lineRule="auto"/>
        <w:rPr>
          <w:rFonts w:ascii="宋体" w:hAnsi="宋体" w:cs="宋体"/>
          <w:sz w:val="24"/>
        </w:rPr>
      </w:pPr>
      <w:r>
        <w:rPr>
          <w:rFonts w:hint="eastAsia" w:ascii="宋体" w:hAnsi="宋体" w:cs="宋体"/>
          <w:sz w:val="24"/>
        </w:rPr>
        <w:t>1：采购需求</w:t>
      </w:r>
    </w:p>
    <w:p>
      <w:pPr>
        <w:spacing w:line="360" w:lineRule="auto"/>
        <w:rPr>
          <w:rFonts w:ascii="宋体" w:hAnsi="宋体" w:cs="宋体"/>
          <w:sz w:val="24"/>
        </w:rPr>
      </w:pPr>
      <w:r>
        <w:rPr>
          <w:rFonts w:hint="eastAsia" w:ascii="宋体" w:hAnsi="宋体" w:cs="宋体"/>
          <w:sz w:val="24"/>
        </w:rPr>
        <w:t>2：主要表格格式</w:t>
      </w:r>
    </w:p>
    <w:p>
      <w:pPr>
        <w:tabs>
          <w:tab w:val="left" w:pos="6645"/>
        </w:tabs>
        <w:spacing w:line="360" w:lineRule="auto"/>
        <w:jc w:val="left"/>
        <w:rPr>
          <w:rFonts w:ascii="宋体" w:hAnsi="宋体" w:cs="宋体"/>
          <w:sz w:val="24"/>
        </w:rPr>
      </w:pPr>
      <w:r>
        <w:rPr>
          <w:rFonts w:hint="eastAsia" w:ascii="宋体" w:hAnsi="宋体" w:cs="宋体"/>
          <w:sz w:val="24"/>
        </w:rPr>
        <w:t>3：采购投标文件装订顺序</w:t>
      </w:r>
    </w:p>
    <w:p>
      <w:pPr>
        <w:tabs>
          <w:tab w:val="left" w:pos="6645"/>
        </w:tabs>
        <w:spacing w:line="360" w:lineRule="auto"/>
        <w:jc w:val="left"/>
        <w:rPr>
          <w:rFonts w:ascii="宋体" w:hAnsi="宋体" w:cs="宋体"/>
          <w:sz w:val="24"/>
        </w:rPr>
      </w:pPr>
      <w:r>
        <w:rPr>
          <w:rFonts w:hint="eastAsia" w:ascii="宋体" w:hAnsi="宋体" w:cs="宋体"/>
          <w:sz w:val="24"/>
        </w:rPr>
        <w:t>4：反商业贿赂承诺书</w:t>
      </w:r>
    </w:p>
    <w:p>
      <w:pPr>
        <w:pStyle w:val="3"/>
        <w:spacing w:line="360" w:lineRule="auto"/>
        <w:rPr>
          <w:rFonts w:ascii="宋体" w:hAnsi="宋体" w:cs="宋体"/>
          <w:sz w:val="24"/>
        </w:rPr>
      </w:pPr>
      <w:r>
        <w:rPr>
          <w:rFonts w:hint="eastAsia" w:ascii="宋体" w:hAnsi="宋体" w:cs="宋体"/>
          <w:sz w:val="24"/>
        </w:rPr>
        <w:t>5：纪律承诺书</w:t>
      </w: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snapToGrid w:val="0"/>
        <w:spacing w:line="360" w:lineRule="auto"/>
        <w:textAlignment w:val="baseline"/>
        <w:rPr>
          <w:rFonts w:hint="eastAsia" w:ascii="宋体" w:hAnsi="宋体" w:cs="宋体"/>
          <w:b/>
          <w:bCs/>
          <w:sz w:val="24"/>
        </w:rPr>
      </w:pPr>
    </w:p>
    <w:p>
      <w:pPr>
        <w:snapToGrid w:val="0"/>
        <w:spacing w:line="360" w:lineRule="auto"/>
        <w:textAlignment w:val="baseline"/>
        <w:rPr>
          <w:rFonts w:hint="eastAsia" w:ascii="宋体" w:hAnsi="宋体" w:cs="宋体"/>
          <w:b/>
          <w:bCs/>
          <w:sz w:val="24"/>
        </w:rPr>
      </w:pPr>
    </w:p>
    <w:p>
      <w:pPr>
        <w:snapToGrid w:val="0"/>
        <w:spacing w:line="360" w:lineRule="auto"/>
        <w:textAlignment w:val="baseline"/>
        <w:rPr>
          <w:rFonts w:ascii="宋体" w:hAnsi="宋体" w:cs="宋体"/>
          <w:sz w:val="24"/>
        </w:rPr>
      </w:pPr>
      <w:r>
        <w:rPr>
          <w:rFonts w:hint="eastAsia" w:ascii="宋体" w:hAnsi="宋体" w:cs="宋体"/>
          <w:b/>
          <w:bCs/>
          <w:sz w:val="24"/>
        </w:rPr>
        <w:t>附件1 采购需求</w:t>
      </w:r>
    </w:p>
    <w:p>
      <w:pPr>
        <w:keepNext/>
        <w:keepLines/>
        <w:spacing w:before="340" w:after="330" w:line="360" w:lineRule="auto"/>
        <w:jc w:val="center"/>
        <w:outlineLvl w:val="0"/>
        <w:rPr>
          <w:rFonts w:ascii="宋体" w:hAnsi="宋体" w:cs="宋体"/>
          <w:b/>
          <w:bCs/>
          <w:kern w:val="44"/>
          <w:sz w:val="24"/>
        </w:rPr>
      </w:pPr>
      <w:r>
        <w:rPr>
          <w:rFonts w:hint="eastAsia" w:ascii="宋体" w:hAnsi="宋体" w:cs="宋体"/>
          <w:b/>
          <w:bCs/>
          <w:kern w:val="44"/>
          <w:sz w:val="24"/>
        </w:rPr>
        <w:t>招标项目技术、服务及商务要求</w:t>
      </w:r>
    </w:p>
    <w:p>
      <w:pPr>
        <w:spacing w:after="160" w:line="360" w:lineRule="auto"/>
        <w:rPr>
          <w:rFonts w:ascii="宋体" w:hAnsi="宋体" w:cs="宋体"/>
          <w:b/>
          <w:sz w:val="24"/>
        </w:rPr>
      </w:pPr>
      <w:bookmarkStart w:id="0" w:name="_Toc217446094"/>
      <w:r>
        <w:rPr>
          <w:rFonts w:hint="eastAsia" w:ascii="宋体" w:hAnsi="宋体" w:cs="宋体"/>
          <w:b/>
          <w:sz w:val="24"/>
        </w:rPr>
        <w:t>前提：本章中标注“★”的条款为本项目的实质性条款，投标人不满足的，将按照无效投标处理。</w:t>
      </w:r>
    </w:p>
    <w:p>
      <w:pPr>
        <w:keepNext/>
        <w:keepLines/>
        <w:spacing w:before="80" w:after="80" w:line="360" w:lineRule="auto"/>
        <w:ind w:firstLine="482"/>
        <w:outlineLvl w:val="1"/>
        <w:rPr>
          <w:rFonts w:ascii="宋体" w:hAnsi="宋体" w:cs="宋体"/>
          <w:b/>
          <w:bCs/>
          <w:sz w:val="24"/>
        </w:rPr>
      </w:pPr>
      <w:r>
        <w:rPr>
          <w:rFonts w:hint="eastAsia" w:ascii="宋体" w:hAnsi="宋体" w:cs="宋体"/>
          <w:b/>
          <w:bCs/>
          <w:sz w:val="24"/>
        </w:rPr>
        <w:t>一、项目概述</w:t>
      </w:r>
      <w:bookmarkEnd w:id="0"/>
    </w:p>
    <w:p>
      <w:pPr>
        <w:keepNext/>
        <w:keepLines/>
        <w:spacing w:before="80" w:after="80" w:line="360" w:lineRule="auto"/>
        <w:ind w:firstLine="482"/>
        <w:outlineLvl w:val="2"/>
        <w:rPr>
          <w:rFonts w:ascii="宋体" w:hAnsi="宋体" w:cs="宋体"/>
          <w:b/>
          <w:sz w:val="24"/>
        </w:rPr>
      </w:pPr>
      <w:bookmarkStart w:id="1" w:name="_Toc217446095"/>
      <w:r>
        <w:rPr>
          <w:rFonts w:hint="eastAsia" w:ascii="宋体" w:hAnsi="宋体" w:cs="宋体"/>
          <w:b/>
          <w:sz w:val="24"/>
        </w:rPr>
        <w:t>（一）</w:t>
      </w:r>
      <w:r>
        <w:rPr>
          <w:rFonts w:hint="eastAsia" w:ascii="宋体" w:hAnsi="宋体" w:cs="宋体"/>
          <w:b/>
          <w:bCs/>
          <w:sz w:val="24"/>
        </w:rPr>
        <w:t>项目基本情况</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本项目内容为按照设计任务书要求规划设计（含方案设计及施工图设计）并施工建设天府院区咖啡吧。同时，委托第三方完成施工图审查，竣工后按照设计任务书中要求相关验收规范完成并出具第三方单位相关质量检测合格报告。</w:t>
      </w:r>
    </w:p>
    <w:p>
      <w:pPr>
        <w:keepNext/>
        <w:keepLines/>
        <w:spacing w:before="80" w:after="80" w:line="360" w:lineRule="auto"/>
        <w:ind w:firstLine="482"/>
        <w:outlineLvl w:val="1"/>
        <w:rPr>
          <w:rFonts w:ascii="宋体" w:hAnsi="宋体" w:cs="宋体"/>
          <w:b/>
          <w:bCs/>
          <w:sz w:val="24"/>
        </w:rPr>
      </w:pPr>
      <w:r>
        <w:rPr>
          <w:rFonts w:hint="eastAsia" w:ascii="宋体" w:hAnsi="宋体" w:cs="宋体"/>
          <w:b/>
          <w:bCs/>
          <w:sz w:val="24"/>
        </w:rPr>
        <w:t>★二、商务要求</w:t>
      </w:r>
    </w:p>
    <w:p>
      <w:pPr>
        <w:keepNext/>
        <w:keepLines/>
        <w:spacing w:before="80" w:after="80" w:line="360" w:lineRule="auto"/>
        <w:ind w:firstLine="482"/>
        <w:outlineLvl w:val="2"/>
        <w:rPr>
          <w:rFonts w:ascii="宋体" w:hAnsi="宋体" w:cs="宋体"/>
          <w:b/>
          <w:sz w:val="24"/>
        </w:rPr>
      </w:pPr>
      <w:r>
        <w:rPr>
          <w:rFonts w:hint="eastAsia" w:ascii="宋体" w:hAnsi="宋体" w:cs="宋体"/>
          <w:b/>
          <w:sz w:val="24"/>
        </w:rPr>
        <w:t>（一）建设时间</w:t>
      </w:r>
    </w:p>
    <w:p>
      <w:pPr>
        <w:adjustRightInd w:val="0"/>
        <w:snapToGrid w:val="0"/>
        <w:spacing w:before="80" w:after="80" w:line="360" w:lineRule="auto"/>
        <w:ind w:firstLine="480"/>
        <w:rPr>
          <w:rFonts w:ascii="宋体" w:hAnsi="宋体" w:cs="宋体"/>
          <w:sz w:val="24"/>
        </w:rPr>
      </w:pPr>
      <w:r>
        <w:rPr>
          <w:rFonts w:hint="eastAsia" w:ascii="宋体" w:hAnsi="宋体" w:cs="宋体"/>
          <w:sz w:val="24"/>
        </w:rPr>
        <w:t>合同签订</w:t>
      </w:r>
      <w:r>
        <w:rPr>
          <w:rFonts w:hint="eastAsia" w:ascii="宋体" w:hAnsi="宋体" w:cs="宋体"/>
          <w:bCs/>
          <w:sz w:val="24"/>
        </w:rPr>
        <w:t>生效</w:t>
      </w:r>
      <w:r>
        <w:rPr>
          <w:rFonts w:hint="eastAsia" w:ascii="宋体" w:hAnsi="宋体" w:cs="宋体"/>
          <w:sz w:val="24"/>
        </w:rPr>
        <w:t>之日起，设计工作须在10天内完成，施工周期为20天内完成。</w:t>
      </w:r>
    </w:p>
    <w:p>
      <w:pPr>
        <w:keepNext/>
        <w:keepLines/>
        <w:spacing w:before="80" w:after="80" w:line="360" w:lineRule="auto"/>
        <w:ind w:firstLine="482"/>
        <w:outlineLvl w:val="2"/>
        <w:rPr>
          <w:rFonts w:ascii="宋体" w:hAnsi="宋体" w:cs="宋体"/>
          <w:b/>
          <w:sz w:val="24"/>
        </w:rPr>
      </w:pPr>
      <w:r>
        <w:rPr>
          <w:rFonts w:hint="eastAsia" w:ascii="宋体" w:hAnsi="宋体" w:cs="宋体"/>
          <w:b/>
          <w:sz w:val="24"/>
        </w:rPr>
        <w:t>（二）建设地点及范围:</w:t>
      </w:r>
    </w:p>
    <w:p>
      <w:pPr>
        <w:adjustRightInd w:val="0"/>
        <w:snapToGrid w:val="0"/>
        <w:spacing w:before="80" w:after="80" w:line="360" w:lineRule="auto"/>
        <w:ind w:firstLine="480"/>
        <w:rPr>
          <w:rFonts w:ascii="宋体" w:hAnsi="宋体" w:cs="宋体"/>
          <w:sz w:val="24"/>
        </w:rPr>
      </w:pPr>
      <w:r>
        <w:rPr>
          <w:rFonts w:hint="eastAsia" w:ascii="宋体" w:hAnsi="宋体" w:cs="宋体"/>
          <w:sz w:val="24"/>
        </w:rPr>
        <w:t>岐黄二路1515号四川省妇幼保健院门诊楼1楼体检就餐区，房屋建筑面积约200.00㎡，详细面积根据最终施工图为准。</w:t>
      </w:r>
    </w:p>
    <w:p>
      <w:pPr>
        <w:keepNext/>
        <w:keepLines/>
        <w:spacing w:before="80" w:after="80" w:line="360" w:lineRule="auto"/>
        <w:ind w:firstLine="482"/>
        <w:outlineLvl w:val="2"/>
        <w:rPr>
          <w:rFonts w:ascii="宋体" w:hAnsi="宋体" w:cs="宋体"/>
          <w:b/>
          <w:sz w:val="24"/>
        </w:rPr>
      </w:pPr>
      <w:r>
        <w:rPr>
          <w:rFonts w:hint="eastAsia" w:ascii="宋体" w:hAnsi="宋体" w:cs="宋体"/>
          <w:b/>
          <w:sz w:val="24"/>
        </w:rPr>
        <w:t>（三）付款方法和条件：</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1.合同签订生效之日起，采购人支付合同签订暂定金额的20%作为预付款；</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2.中标人完成施工图审图通过并进场施工后15日内，采购人支付至合同签订暂定金额的30%；</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3.项目完工并通过竣工验收交付使用后，采购人支付至施工图预算评审价的80%；</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4.结算款：项目竣工结算完成后，结算金额低于合同价的，项目最终结算价以支付至结算金额的97%；结算金额高于合同价的，支付至合同签订暂定价的97%。</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5.缺陷责任期（24个月）满后10日内，采购人结清剩余款项，即结算金额低于合同价的，支付结算金额的3%；结算金额高于合同价的，支付合同签订暂定价的3%。</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6.款项支付前提均为中标人向采购人出具等额有效的发票以及付款申请和相关凭证后，经采购人确认无误后办理款项支付事宜。</w:t>
      </w:r>
    </w:p>
    <w:p>
      <w:pPr>
        <w:keepNext/>
        <w:keepLines/>
        <w:spacing w:before="80" w:after="80" w:line="360" w:lineRule="auto"/>
        <w:ind w:firstLine="482"/>
        <w:outlineLvl w:val="2"/>
        <w:rPr>
          <w:rFonts w:ascii="宋体" w:hAnsi="宋体" w:cs="宋体"/>
          <w:b/>
          <w:sz w:val="24"/>
        </w:rPr>
      </w:pPr>
      <w:r>
        <w:rPr>
          <w:rFonts w:hint="eastAsia" w:ascii="宋体" w:hAnsi="宋体" w:cs="宋体"/>
          <w:b/>
          <w:sz w:val="24"/>
        </w:rPr>
        <w:t>（四）履约验收要求：</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1.履约验收主体：四川省妇幼保健院</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2.履约验收时间：供应商提出验收申请之日起30日内组织验收</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3.验收组织方式：自行验收</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4.履约验收程序：分期验收</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5.技术履约验收内容：按照本项目招标文件中“技术、服务要求”及中标人投标文件进行验收。</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6.商务履约验收内容：按照本项目招标文件中“商务要求”及中标人投标文件进行验收。</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7.履约验收标准：按照本项目招标文件以及中标人的投标文件作为验收标准依据，如有不一致处在不改变招标文件实质性要求的基础上，优先按照投标文件响应的为准，其他部分以双方共同认可一致的为准。</w:t>
      </w:r>
    </w:p>
    <w:p>
      <w:pPr>
        <w:keepNext/>
        <w:keepLines/>
        <w:spacing w:before="80" w:after="80" w:line="360" w:lineRule="auto"/>
        <w:ind w:firstLine="482"/>
        <w:outlineLvl w:val="2"/>
        <w:rPr>
          <w:rFonts w:ascii="宋体" w:hAnsi="宋体" w:cs="宋体"/>
          <w:b/>
          <w:sz w:val="24"/>
        </w:rPr>
      </w:pPr>
      <w:r>
        <w:rPr>
          <w:rFonts w:hint="eastAsia" w:ascii="宋体" w:hAnsi="宋体" w:cs="宋体"/>
          <w:b/>
          <w:sz w:val="24"/>
        </w:rPr>
        <w:t>（六）项目最高限价</w:t>
      </w:r>
    </w:p>
    <w:p>
      <w:pPr>
        <w:adjustRightInd w:val="0"/>
        <w:snapToGrid w:val="0"/>
        <w:spacing w:before="80" w:after="80" w:line="360" w:lineRule="auto"/>
        <w:ind w:firstLine="480"/>
        <w:rPr>
          <w:rFonts w:ascii="宋体" w:hAnsi="宋体" w:cs="宋体"/>
          <w:sz w:val="24"/>
        </w:rPr>
      </w:pPr>
      <w:r>
        <w:rPr>
          <w:rFonts w:hint="eastAsia" w:ascii="宋体" w:hAnsi="宋体" w:cs="宋体"/>
          <w:sz w:val="24"/>
        </w:rPr>
        <w:t>本项目最高限价：50万。本项目报价为包干报价。建安工程费由供应商应根据招标文件要求及相关资料，同时结合自身经营、管理水平，并充分考虑项目实施期间的未来市场风险，经过经济技术比较分析后，自行填报报价。所有报价不得高于最高限价，否则做否决处理。</w:t>
      </w:r>
    </w:p>
    <w:p>
      <w:pPr>
        <w:keepNext/>
        <w:keepLines/>
        <w:spacing w:before="80" w:after="80" w:line="360" w:lineRule="auto"/>
        <w:ind w:firstLine="482"/>
        <w:outlineLvl w:val="2"/>
        <w:rPr>
          <w:rFonts w:ascii="宋体" w:hAnsi="宋体" w:cs="宋体"/>
          <w:b/>
          <w:sz w:val="24"/>
        </w:rPr>
      </w:pPr>
      <w:r>
        <w:rPr>
          <w:rFonts w:hint="eastAsia" w:ascii="宋体" w:hAnsi="宋体" w:cs="宋体"/>
          <w:b/>
          <w:sz w:val="24"/>
        </w:rPr>
        <w:t>（七）施工图造价</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投标人根据项目技术任务书完成方案设计、施工图设计并完成施工图审查工作后，经采购人委托的造价咨询单位编制造价清单后的价格，并以此作为竣工结算的依据和工程进度款支付的依据。施工图预算价采用工程量清单计价模式，按现行工程量计算规范及其配套文件计量，按《四川省建设工程工程量清单计价定额》计量规则及其配套文件组价，相关材料有信息价的执行信息价，无信息价的材料价格结合市场询价等综合考虑计入施工图预算评审价。同时，投标人设计工作必须按照采购人的要求进行限额设计，经各方盖章确认的施工图预算评审价不得超过项目的中标价，设计及施工内容必须满足且不限于中的所有内容；施工图预算评审价中属于投标人实施范围的漏项，投标人必须实施，但竣工结算时不再计入结算价；施工图预算评审价的依据文件和计价方式与竣工结算一致。</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（八）勘察现场</w:t>
      </w:r>
    </w:p>
    <w:p>
      <w:pPr>
        <w:adjustRightInd w:val="0"/>
        <w:snapToGrid w:val="0"/>
        <w:spacing w:before="80" w:after="80" w:line="360" w:lineRule="auto"/>
        <w:ind w:firstLine="480"/>
        <w:rPr>
          <w:rFonts w:ascii="宋体" w:hAnsi="宋体" w:cs="宋体"/>
          <w:bCs/>
          <w:sz w:val="24"/>
        </w:rPr>
      </w:pPr>
      <w:r>
        <w:rPr>
          <w:rFonts w:hint="eastAsia" w:ascii="宋体" w:hAnsi="宋体" w:cs="宋体"/>
          <w:bCs/>
          <w:sz w:val="24"/>
        </w:rPr>
        <w:t>参加本项目的所有投标人请在2023年12月25日下午15:00四川省妇幼保健院天府院区进行实地勘察。勘察当天，任何理由不参加实地勘察者，视作自动放弃勘察的机会。勘察现场联系人：胡老师，联系电话：028-60671078。</w:t>
      </w:r>
    </w:p>
    <w:p>
      <w:pPr>
        <w:adjustRightInd w:val="0"/>
        <w:snapToGrid w:val="0"/>
        <w:spacing w:before="80" w:after="80" w:line="360" w:lineRule="auto"/>
        <w:ind w:firstLine="480"/>
        <w:rPr>
          <w:rFonts w:ascii="宋体" w:hAnsi="宋体" w:cs="宋体"/>
          <w:bCs/>
          <w:sz w:val="24"/>
        </w:rPr>
      </w:pPr>
    </w:p>
    <w:p>
      <w:pPr>
        <w:keepNext/>
        <w:keepLines/>
        <w:spacing w:before="80" w:after="80" w:line="360" w:lineRule="auto"/>
        <w:ind w:firstLine="482"/>
        <w:outlineLvl w:val="1"/>
        <w:rPr>
          <w:rFonts w:ascii="宋体" w:hAnsi="宋体" w:cs="宋体"/>
          <w:b/>
          <w:bCs/>
          <w:sz w:val="24"/>
        </w:rPr>
      </w:pPr>
      <w:r>
        <w:rPr>
          <w:rFonts w:hint="eastAsia" w:ascii="宋体" w:hAnsi="宋体" w:cs="宋体"/>
          <w:b/>
          <w:bCs/>
          <w:sz w:val="24"/>
        </w:rPr>
        <w:t>★三、技术、服务要求</w:t>
      </w:r>
      <w:bookmarkEnd w:id="1"/>
    </w:p>
    <w:p>
      <w:pPr>
        <w:keepNext/>
        <w:keepLines/>
        <w:adjustRightInd w:val="0"/>
        <w:snapToGrid w:val="0"/>
        <w:spacing w:line="360" w:lineRule="auto"/>
        <w:ind w:firstLine="482" w:firstLineChars="200"/>
        <w:outlineLvl w:val="2"/>
        <w:rPr>
          <w:rFonts w:ascii="宋体" w:hAnsi="宋体" w:cs="宋体"/>
          <w:b/>
          <w:bCs/>
          <w:sz w:val="24"/>
        </w:rPr>
      </w:pPr>
      <w:bookmarkStart w:id="2" w:name="_Toc11853"/>
      <w:bookmarkStart w:id="3" w:name="_Toc12864"/>
      <w:bookmarkStart w:id="4" w:name="_Toc7050"/>
      <w:bookmarkStart w:id="5" w:name="_Hlk149305530"/>
      <w:r>
        <w:rPr>
          <w:rFonts w:hint="eastAsia" w:ascii="宋体" w:hAnsi="宋体" w:cs="宋体"/>
          <w:b/>
          <w:bCs/>
          <w:sz w:val="24"/>
        </w:rPr>
        <w:t>1</w:t>
      </w:r>
      <w:r>
        <w:rPr>
          <w:rFonts w:hint="eastAsia" w:ascii="宋体" w:hAnsi="宋体" w:cs="宋体"/>
          <w:sz w:val="24"/>
        </w:rPr>
        <w:t>.</w:t>
      </w:r>
      <w:r>
        <w:rPr>
          <w:rFonts w:hint="eastAsia" w:ascii="宋体" w:hAnsi="宋体" w:cs="宋体"/>
          <w:b/>
          <w:bCs/>
          <w:sz w:val="24"/>
        </w:rPr>
        <w:t>项目主要组成</w:t>
      </w:r>
      <w:bookmarkEnd w:id="2"/>
      <w:bookmarkEnd w:id="3"/>
      <w:bookmarkEnd w:id="4"/>
    </w:p>
    <w:p>
      <w:pPr>
        <w:adjustRightInd w:val="0"/>
        <w:snapToGrid w:val="0"/>
        <w:spacing w:line="360" w:lineRule="auto"/>
        <w:ind w:firstLine="468" w:firstLineChars="195"/>
        <w:rPr>
          <w:rFonts w:ascii="宋体" w:hAnsi="宋体" w:cs="宋体"/>
          <w:sz w:val="24"/>
        </w:rPr>
      </w:pPr>
      <w:r>
        <w:rPr>
          <w:rFonts w:hint="eastAsia" w:ascii="宋体" w:hAnsi="宋体" w:cs="宋体"/>
          <w:sz w:val="24"/>
        </w:rPr>
        <w:t>本项目范围为项目所有改造内容，实施完成后，满足采购人可直接进行使用的条件，包括但不限于以下内容：</w:t>
      </w:r>
    </w:p>
    <w:p>
      <w:pPr>
        <w:adjustRightInd w:val="0"/>
        <w:snapToGrid w:val="0"/>
        <w:spacing w:line="360" w:lineRule="auto"/>
        <w:ind w:firstLine="240" w:firstLineChars="100"/>
        <w:rPr>
          <w:rFonts w:ascii="宋体" w:hAnsi="宋体" w:cs="宋体"/>
          <w:sz w:val="24"/>
        </w:rPr>
      </w:pPr>
      <w:r>
        <w:rPr>
          <w:rFonts w:hint="eastAsia" w:ascii="宋体" w:hAnsi="宋体" w:cs="宋体"/>
          <w:sz w:val="24"/>
        </w:rPr>
        <w:t>（1）设备设施布置： 咖啡机、咖啡原料等专业咖啡制作设备；音响设备，播放轻音乐；WIFI覆盖，提供免费上网； 厨房、水槽、冰柜、展示柜等后勤设施,以及开业前必备的消耗性材料（包括但不限于：一次性吸管、一次性纸杯、包装袋等）</w:t>
      </w:r>
    </w:p>
    <w:p>
      <w:pPr>
        <w:adjustRightInd w:val="0"/>
        <w:snapToGrid w:val="0"/>
        <w:spacing w:line="360" w:lineRule="auto"/>
        <w:ind w:firstLine="200"/>
        <w:rPr>
          <w:rFonts w:ascii="宋体" w:hAnsi="宋体" w:cs="宋体"/>
          <w:sz w:val="24"/>
        </w:rPr>
      </w:pPr>
      <w:r>
        <w:rPr>
          <w:rFonts w:hint="eastAsia" w:ascii="宋体" w:hAnsi="宋体" w:cs="宋体"/>
          <w:sz w:val="24"/>
        </w:rPr>
        <w:t>（2）本改造区域与原有建筑相衔接工作的设计（含强弱电引接、给排水（含消防）引接、暖通引接、建筑引接、结构复核等））；负责自行委托第三方施工图审查单位进行施工审查；</w:t>
      </w:r>
    </w:p>
    <w:p>
      <w:pPr>
        <w:adjustRightInd w:val="0"/>
        <w:snapToGrid w:val="0"/>
        <w:spacing w:line="360" w:lineRule="auto"/>
        <w:ind w:firstLine="200"/>
        <w:rPr>
          <w:rFonts w:ascii="宋体" w:hAnsi="宋体" w:cs="宋体"/>
          <w:b/>
          <w:bCs/>
          <w:sz w:val="24"/>
        </w:rPr>
      </w:pPr>
      <w:r>
        <w:rPr>
          <w:rFonts w:hint="eastAsia" w:ascii="宋体" w:hAnsi="宋体" w:cs="宋体"/>
          <w:sz w:val="24"/>
        </w:rPr>
        <w:t>（3）四川省妇幼保健院天府院区咖啡吧所有设计等工作，</w:t>
      </w:r>
      <w:r>
        <w:rPr>
          <w:rFonts w:hint="eastAsia" w:ascii="宋体" w:hAnsi="宋体" w:cs="宋体"/>
          <w:b/>
          <w:bCs/>
          <w:sz w:val="24"/>
        </w:rPr>
        <w:t>初步拟定咖啡吧的名字为“佑宝”。“佑”意味着保护和守护，代表着医院对妇女儿童健康的关注和保护。“宝”代表着宝贵的生命，表达了对妇女和儿童生命的珍视和重视。“佑宝”寓意保护妇女儿童的健康和幸福，传递了我院对患者的关心和关爱。</w:t>
      </w:r>
    </w:p>
    <w:p>
      <w:pPr>
        <w:adjustRightInd w:val="0"/>
        <w:snapToGrid w:val="0"/>
        <w:spacing w:line="360" w:lineRule="auto"/>
        <w:ind w:firstLine="200"/>
        <w:rPr>
          <w:rFonts w:ascii="宋体" w:hAnsi="宋体" w:cs="宋体"/>
          <w:sz w:val="24"/>
        </w:rPr>
      </w:pPr>
      <w:r>
        <w:rPr>
          <w:rFonts w:hint="eastAsia" w:ascii="宋体" w:hAnsi="宋体" w:cs="宋体"/>
          <w:sz w:val="24"/>
        </w:rPr>
        <w:t>（4）完工后提供相关验收规范、标准要求的第三方检测报告；</w:t>
      </w:r>
    </w:p>
    <w:p>
      <w:pPr>
        <w:adjustRightInd w:val="0"/>
        <w:snapToGrid w:val="0"/>
        <w:spacing w:line="360" w:lineRule="auto"/>
        <w:ind w:firstLine="200"/>
        <w:rPr>
          <w:rFonts w:ascii="宋体" w:hAnsi="宋体" w:cs="宋体"/>
          <w:sz w:val="24"/>
        </w:rPr>
      </w:pPr>
      <w:r>
        <w:rPr>
          <w:rFonts w:hint="eastAsia" w:ascii="宋体" w:hAnsi="宋体" w:cs="宋体"/>
          <w:sz w:val="24"/>
        </w:rPr>
        <w:t>（5）工程质量缺陷责任期内的所有缺陷修复和保修工作；</w:t>
      </w:r>
    </w:p>
    <w:p>
      <w:pPr>
        <w:adjustRightInd w:val="0"/>
        <w:snapToGrid w:val="0"/>
        <w:spacing w:line="360" w:lineRule="auto"/>
        <w:ind w:firstLine="200"/>
        <w:rPr>
          <w:rFonts w:ascii="宋体" w:hAnsi="宋体" w:cs="宋体"/>
          <w:sz w:val="24"/>
        </w:rPr>
      </w:pPr>
      <w:r>
        <w:rPr>
          <w:rFonts w:hint="eastAsia" w:ascii="宋体" w:hAnsi="宋体" w:cs="宋体"/>
          <w:sz w:val="24"/>
        </w:rPr>
        <w:t>（6）初步设计图纸</w:t>
      </w:r>
    </w:p>
    <w:p>
      <w:pPr>
        <w:adjustRightInd w:val="0"/>
        <w:snapToGrid w:val="0"/>
        <w:spacing w:line="360" w:lineRule="auto"/>
        <w:ind w:firstLine="200"/>
        <w:rPr>
          <w:rFonts w:ascii="宋体" w:hAnsi="宋体" w:cs="宋体"/>
          <w:sz w:val="24"/>
        </w:rPr>
      </w:pPr>
      <w:r>
        <w:rPr>
          <w:rFonts w:hint="eastAsia" w:ascii="宋体" w:hAnsi="宋体" w:cs="宋体"/>
          <w:sz w:val="24"/>
        </w:rPr>
        <w:drawing>
          <wp:inline distT="0" distB="0" distL="114300" distR="114300">
            <wp:extent cx="5268595" cy="6051550"/>
            <wp:effectExtent l="0" t="0" r="190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8595" cy="6051550"/>
                    </a:xfrm>
                    <a:prstGeom prst="rect">
                      <a:avLst/>
                    </a:prstGeom>
                    <a:noFill/>
                    <a:ln>
                      <a:noFill/>
                    </a:ln>
                  </pic:spPr>
                </pic:pic>
              </a:graphicData>
            </a:graphic>
          </wp:inline>
        </w:drawing>
      </w:r>
      <w:r>
        <w:rPr>
          <w:rFonts w:hint="eastAsia" w:ascii="宋体" w:hAnsi="宋体" w:cs="宋体"/>
          <w:sz w:val="24"/>
        </w:rPr>
        <w:drawing>
          <wp:inline distT="0" distB="0" distL="114300" distR="114300">
            <wp:extent cx="5271770" cy="2734310"/>
            <wp:effectExtent l="0" t="0" r="11430" b="8890"/>
            <wp:docPr id="3" name="图片 3" descr="e5685e919f08031a8ce1635d9ebb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5685e919f08031a8ce1635d9ebb8d5"/>
                    <pic:cNvPicPr>
                      <a:picLocks noChangeAspect="1"/>
                    </pic:cNvPicPr>
                  </pic:nvPicPr>
                  <pic:blipFill>
                    <a:blip r:embed="rId5"/>
                    <a:stretch>
                      <a:fillRect/>
                    </a:stretch>
                  </pic:blipFill>
                  <pic:spPr>
                    <a:xfrm>
                      <a:off x="0" y="0"/>
                      <a:ext cx="5271770" cy="2734310"/>
                    </a:xfrm>
                    <a:prstGeom prst="rect">
                      <a:avLst/>
                    </a:prstGeom>
                  </pic:spPr>
                </pic:pic>
              </a:graphicData>
            </a:graphic>
          </wp:inline>
        </w:drawing>
      </w:r>
      <w:r>
        <w:rPr>
          <w:rFonts w:hint="eastAsia" w:ascii="宋体" w:hAnsi="宋体" w:cs="宋体"/>
          <w:sz w:val="24"/>
        </w:rPr>
        <w:drawing>
          <wp:inline distT="0" distB="0" distL="114300" distR="114300">
            <wp:extent cx="5271135" cy="2404110"/>
            <wp:effectExtent l="0" t="0" r="12065" b="8890"/>
            <wp:docPr id="4" name="图片 4" descr="a4e352cb17a1989c87d413f90426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4e352cb17a1989c87d413f904264b9"/>
                    <pic:cNvPicPr>
                      <a:picLocks noChangeAspect="1"/>
                    </pic:cNvPicPr>
                  </pic:nvPicPr>
                  <pic:blipFill>
                    <a:blip r:embed="rId6"/>
                    <a:stretch>
                      <a:fillRect/>
                    </a:stretch>
                  </pic:blipFill>
                  <pic:spPr>
                    <a:xfrm>
                      <a:off x="0" y="0"/>
                      <a:ext cx="5271135" cy="2404110"/>
                    </a:xfrm>
                    <a:prstGeom prst="rect">
                      <a:avLst/>
                    </a:prstGeom>
                  </pic:spPr>
                </pic:pic>
              </a:graphicData>
            </a:graphic>
          </wp:inline>
        </w:drawing>
      </w:r>
    </w:p>
    <w:p>
      <w:pPr>
        <w:adjustRightInd w:val="0"/>
        <w:snapToGrid w:val="0"/>
        <w:spacing w:line="360" w:lineRule="auto"/>
        <w:ind w:firstLine="200"/>
        <w:rPr>
          <w:rFonts w:ascii="宋体" w:hAnsi="宋体" w:cs="宋体"/>
          <w:sz w:val="24"/>
        </w:rPr>
      </w:pPr>
    </w:p>
    <w:p>
      <w:pPr>
        <w:adjustRightInd w:val="0"/>
        <w:snapToGrid w:val="0"/>
        <w:spacing w:line="360" w:lineRule="auto"/>
        <w:ind w:firstLine="200"/>
        <w:rPr>
          <w:rFonts w:ascii="宋体" w:hAnsi="宋体" w:cs="宋体"/>
          <w:sz w:val="24"/>
        </w:rPr>
      </w:pPr>
    </w:p>
    <w:p>
      <w:pPr>
        <w:adjustRightInd w:val="0"/>
        <w:snapToGrid w:val="0"/>
        <w:spacing w:line="360" w:lineRule="auto"/>
        <w:ind w:firstLine="200"/>
        <w:rPr>
          <w:rFonts w:ascii="宋体" w:hAnsi="宋体" w:cs="宋体"/>
          <w:sz w:val="24"/>
        </w:rPr>
      </w:pPr>
    </w:p>
    <w:p>
      <w:pPr>
        <w:keepNext/>
        <w:keepLines/>
        <w:adjustRightInd w:val="0"/>
        <w:snapToGrid w:val="0"/>
        <w:spacing w:line="360" w:lineRule="auto"/>
        <w:ind w:firstLine="482" w:firstLineChars="200"/>
        <w:outlineLvl w:val="2"/>
        <w:rPr>
          <w:rFonts w:ascii="宋体" w:hAnsi="宋体" w:cs="宋体"/>
          <w:b/>
          <w:bCs/>
          <w:sz w:val="24"/>
        </w:rPr>
      </w:pPr>
      <w:bookmarkStart w:id="6" w:name="_Toc32377"/>
      <w:bookmarkStart w:id="7" w:name="_Toc4412"/>
      <w:bookmarkStart w:id="8" w:name="_Toc2054"/>
      <w:bookmarkStart w:id="9" w:name="_Toc7737"/>
      <w:r>
        <w:rPr>
          <w:rFonts w:hint="eastAsia" w:ascii="宋体" w:hAnsi="宋体" w:cs="宋体"/>
          <w:b/>
          <w:bCs/>
          <w:sz w:val="24"/>
        </w:rPr>
        <w:t>2.服务范围</w:t>
      </w:r>
      <w:bookmarkEnd w:id="6"/>
      <w:bookmarkEnd w:id="7"/>
      <w:bookmarkEnd w:id="8"/>
      <w:bookmarkEnd w:id="9"/>
    </w:p>
    <w:p>
      <w:pPr>
        <w:adjustRightInd w:val="0"/>
        <w:snapToGrid w:val="0"/>
        <w:spacing w:line="360" w:lineRule="auto"/>
        <w:ind w:firstLine="200"/>
        <w:outlineLvl w:val="3"/>
        <w:rPr>
          <w:rFonts w:ascii="宋体" w:hAnsi="宋体" w:cs="宋体"/>
          <w:b/>
          <w:bCs/>
          <w:sz w:val="24"/>
        </w:rPr>
      </w:pPr>
      <w:bookmarkStart w:id="10" w:name="_Toc19460"/>
      <w:bookmarkStart w:id="11" w:name="_Toc27372"/>
      <w:bookmarkStart w:id="12" w:name="_Toc3472"/>
      <w:r>
        <w:rPr>
          <w:rFonts w:hint="eastAsia" w:ascii="宋体" w:hAnsi="宋体" w:cs="宋体"/>
          <w:b/>
          <w:bCs/>
          <w:sz w:val="24"/>
        </w:rPr>
        <w:t>2.1平面布局及技术要求</w:t>
      </w:r>
      <w:bookmarkEnd w:id="10"/>
      <w:bookmarkEnd w:id="11"/>
      <w:bookmarkEnd w:id="12"/>
    </w:p>
    <w:p>
      <w:pPr>
        <w:adjustRightInd w:val="0"/>
        <w:snapToGrid w:val="0"/>
        <w:spacing w:line="360" w:lineRule="auto"/>
        <w:ind w:firstLine="200"/>
        <w:outlineLvl w:val="4"/>
        <w:rPr>
          <w:rFonts w:ascii="宋体" w:hAnsi="宋体" w:cs="宋体"/>
          <w:sz w:val="24"/>
        </w:rPr>
      </w:pPr>
      <w:bookmarkStart w:id="13" w:name="_Toc325"/>
      <w:bookmarkStart w:id="14" w:name="_Toc12679"/>
      <w:bookmarkStart w:id="15" w:name="_Toc108"/>
      <w:r>
        <w:rPr>
          <w:rFonts w:hint="eastAsia" w:ascii="宋体" w:hAnsi="宋体" w:cs="宋体"/>
          <w:sz w:val="24"/>
        </w:rPr>
        <w:t>2.1.1整体原则</w:t>
      </w:r>
      <w:bookmarkEnd w:id="13"/>
      <w:bookmarkEnd w:id="14"/>
      <w:bookmarkEnd w:id="15"/>
    </w:p>
    <w:p>
      <w:pPr>
        <w:adjustRightInd w:val="0"/>
        <w:snapToGrid w:val="0"/>
        <w:spacing w:line="360" w:lineRule="auto"/>
        <w:ind w:firstLine="200"/>
        <w:rPr>
          <w:rFonts w:ascii="宋体" w:hAnsi="宋体" w:cs="宋体"/>
          <w:sz w:val="24"/>
        </w:rPr>
      </w:pPr>
      <w:r>
        <w:rPr>
          <w:rFonts w:hint="eastAsia" w:ascii="宋体" w:hAnsi="宋体" w:cs="宋体"/>
          <w:sz w:val="24"/>
        </w:rPr>
        <w:t>（1）整体设计统一、对外形象统一、简单适用、干净明亮、符合医院形象、洁污分明、配套设施完善、功能与设施先进完备；</w:t>
      </w:r>
    </w:p>
    <w:p>
      <w:pPr>
        <w:adjustRightInd w:val="0"/>
        <w:snapToGrid w:val="0"/>
        <w:spacing w:line="360" w:lineRule="auto"/>
        <w:ind w:firstLine="200"/>
        <w:rPr>
          <w:rFonts w:ascii="宋体" w:hAnsi="宋体" w:cs="宋体"/>
          <w:sz w:val="24"/>
        </w:rPr>
      </w:pPr>
      <w:r>
        <w:rPr>
          <w:rFonts w:hint="eastAsia" w:ascii="宋体" w:hAnsi="宋体" w:cs="宋体"/>
          <w:sz w:val="24"/>
        </w:rPr>
        <w:t>（2）投标人在方案设计须充分与采购人沟通，充分满足采购人要求及意图并经采购人书面确认后方可进行深化设计；深化设计须充分与采购人沟通，充分满足采购人要求并经采购人书面认可后方可进行下一步工作；</w:t>
      </w:r>
    </w:p>
    <w:p>
      <w:pPr>
        <w:adjustRightInd w:val="0"/>
        <w:snapToGrid w:val="0"/>
        <w:spacing w:line="360" w:lineRule="auto"/>
        <w:ind w:firstLine="200"/>
        <w:rPr>
          <w:rFonts w:ascii="宋体" w:hAnsi="宋体" w:cs="宋体"/>
          <w:sz w:val="24"/>
        </w:rPr>
      </w:pPr>
      <w:r>
        <w:rPr>
          <w:rFonts w:hint="eastAsia" w:ascii="宋体" w:hAnsi="宋体" w:cs="宋体"/>
          <w:sz w:val="24"/>
        </w:rPr>
        <w:t>2.1.2质量要求</w:t>
      </w:r>
    </w:p>
    <w:p>
      <w:pPr>
        <w:adjustRightInd w:val="0"/>
        <w:snapToGrid w:val="0"/>
        <w:spacing w:line="360" w:lineRule="auto"/>
        <w:ind w:firstLine="200"/>
        <w:rPr>
          <w:rFonts w:ascii="宋体" w:hAnsi="宋体" w:cs="宋体"/>
          <w:sz w:val="24"/>
        </w:rPr>
      </w:pPr>
      <w:r>
        <w:rPr>
          <w:rFonts w:hint="eastAsia" w:ascii="宋体" w:hAnsi="宋体" w:cs="宋体"/>
          <w:sz w:val="24"/>
        </w:rPr>
        <w:t>（1）项目范围内的设计、施工工艺、设备及材料的选择都应具有先进性，满足医院的使用要求。设备及工艺的安排应具有先进性、高可靠性、实用性、经济性与合理性。全部技术指标，包括设备、材料、包装、运输、安装、调试、维修等各项目技术参数，必须符合本招标文件及国家规范的相关要求，采购人要求提高部分要求的则须满足采购人实际要求。</w:t>
      </w:r>
    </w:p>
    <w:p>
      <w:pPr>
        <w:adjustRightInd w:val="0"/>
        <w:snapToGrid w:val="0"/>
        <w:spacing w:line="360" w:lineRule="auto"/>
        <w:ind w:firstLine="200"/>
        <w:rPr>
          <w:rFonts w:ascii="宋体" w:hAnsi="宋体" w:cs="宋体"/>
          <w:sz w:val="24"/>
        </w:rPr>
      </w:pPr>
      <w:r>
        <w:rPr>
          <w:rFonts w:hint="eastAsia" w:ascii="宋体" w:hAnsi="宋体" w:cs="宋体"/>
          <w:sz w:val="24"/>
        </w:rPr>
        <w:t>（2）装修提供的设备、材料等符合国家质量标准，装修材料及设备绿色环保节能。</w:t>
      </w:r>
    </w:p>
    <w:p>
      <w:pPr>
        <w:adjustRightInd w:val="0"/>
        <w:snapToGrid w:val="0"/>
        <w:spacing w:line="360" w:lineRule="auto"/>
        <w:ind w:firstLine="200"/>
        <w:rPr>
          <w:rFonts w:ascii="宋体" w:hAnsi="宋体" w:cs="宋体"/>
          <w:sz w:val="24"/>
        </w:rPr>
      </w:pPr>
      <w:r>
        <w:rPr>
          <w:rFonts w:hint="eastAsia" w:ascii="宋体" w:hAnsi="宋体" w:cs="宋体"/>
          <w:sz w:val="24"/>
        </w:rPr>
        <w:t>（3）需制定符合本项目需求的施工方案与技术措施、质量控制与措施、安全管理体系与措施、文明、环境保护管理体系与措施、工期保证体系及保证措施及维修服务。</w:t>
      </w:r>
    </w:p>
    <w:p>
      <w:pPr>
        <w:adjustRightInd w:val="0"/>
        <w:snapToGrid w:val="0"/>
        <w:spacing w:line="360" w:lineRule="auto"/>
        <w:ind w:firstLine="200"/>
        <w:rPr>
          <w:rFonts w:ascii="宋体" w:hAnsi="宋体" w:cs="宋体"/>
          <w:b/>
          <w:bCs/>
          <w:sz w:val="24"/>
        </w:rPr>
      </w:pPr>
      <w:r>
        <w:rPr>
          <w:rFonts w:hint="eastAsia" w:ascii="宋体" w:hAnsi="宋体" w:cs="宋体"/>
          <w:b/>
          <w:bCs/>
          <w:sz w:val="24"/>
        </w:rPr>
        <w:t>（4）涉及功能及样式的材料，在施工前须经过甲方选型确认，投标人不得未经选样擅自施工。</w:t>
      </w:r>
    </w:p>
    <w:p>
      <w:pPr>
        <w:pStyle w:val="15"/>
        <w:spacing w:line="360" w:lineRule="auto"/>
        <w:ind w:firstLine="480"/>
        <w:rPr>
          <w:rFonts w:ascii="宋体" w:hAnsi="宋体" w:cs="宋体"/>
          <w:sz w:val="24"/>
        </w:rPr>
      </w:pPr>
    </w:p>
    <w:p>
      <w:pPr>
        <w:adjustRightInd w:val="0"/>
        <w:snapToGrid w:val="0"/>
        <w:spacing w:line="360" w:lineRule="auto"/>
        <w:ind w:firstLine="200"/>
        <w:rPr>
          <w:rFonts w:ascii="宋体" w:hAnsi="宋体" w:cs="宋体"/>
          <w:sz w:val="24"/>
        </w:rPr>
      </w:pPr>
      <w:r>
        <w:rPr>
          <w:rFonts w:hint="eastAsia" w:ascii="宋体" w:hAnsi="宋体" w:cs="宋体"/>
          <w:sz w:val="24"/>
        </w:rPr>
        <w:t>2.1.3设计要求</w:t>
      </w:r>
    </w:p>
    <w:p>
      <w:pPr>
        <w:adjustRightInd w:val="0"/>
        <w:snapToGrid w:val="0"/>
        <w:spacing w:line="360" w:lineRule="auto"/>
        <w:ind w:firstLine="200"/>
        <w:rPr>
          <w:rFonts w:ascii="宋体" w:hAnsi="宋体" w:cs="宋体"/>
          <w:sz w:val="24"/>
        </w:rPr>
      </w:pPr>
      <w:r>
        <w:rPr>
          <w:rFonts w:hint="eastAsia" w:ascii="宋体" w:hAnsi="宋体" w:cs="宋体"/>
          <w:sz w:val="24"/>
        </w:rPr>
        <w:t>（1）应当总体布局合理，功能完整，合理可行。严格执行强制性标准、各项规范、规程；</w:t>
      </w:r>
    </w:p>
    <w:p>
      <w:pPr>
        <w:adjustRightInd w:val="0"/>
        <w:snapToGrid w:val="0"/>
        <w:spacing w:line="360" w:lineRule="auto"/>
        <w:ind w:firstLine="200"/>
        <w:rPr>
          <w:rFonts w:ascii="宋体" w:hAnsi="宋体" w:cs="宋体"/>
          <w:sz w:val="24"/>
        </w:rPr>
      </w:pPr>
      <w:r>
        <w:rPr>
          <w:rFonts w:hint="eastAsia" w:ascii="宋体" w:hAnsi="宋体" w:cs="宋体"/>
          <w:sz w:val="24"/>
        </w:rPr>
        <w:t>（2）要求投标人自行设计及深化图纸、施工方案及功能优化；</w:t>
      </w:r>
    </w:p>
    <w:p>
      <w:pPr>
        <w:adjustRightInd w:val="0"/>
        <w:snapToGrid w:val="0"/>
        <w:spacing w:line="360" w:lineRule="auto"/>
        <w:ind w:firstLine="200"/>
        <w:rPr>
          <w:rFonts w:ascii="宋体" w:hAnsi="宋体" w:cs="宋体"/>
          <w:sz w:val="24"/>
        </w:rPr>
      </w:pPr>
      <w:r>
        <w:rPr>
          <w:rFonts w:hint="eastAsia" w:ascii="宋体" w:hAnsi="宋体" w:cs="宋体"/>
          <w:sz w:val="24"/>
        </w:rPr>
        <w:t>（3），要营造一种温馨和谐的环境，色彩搭配要能体现中心的经营理念；</w:t>
      </w:r>
    </w:p>
    <w:p>
      <w:pPr>
        <w:adjustRightInd w:val="0"/>
        <w:snapToGrid w:val="0"/>
        <w:spacing w:line="360" w:lineRule="auto"/>
        <w:ind w:firstLine="200"/>
        <w:rPr>
          <w:rFonts w:ascii="宋体" w:hAnsi="宋体" w:cs="宋体"/>
          <w:sz w:val="24"/>
        </w:rPr>
      </w:pPr>
      <w:r>
        <w:rPr>
          <w:rFonts w:hint="eastAsia" w:ascii="宋体" w:hAnsi="宋体" w:cs="宋体"/>
          <w:sz w:val="24"/>
        </w:rPr>
        <w:t>（4）布局设计要简单、方便、快捷、利于工作中提高效率；相关连接紧密合理，选材要无毒、无味、易清洗，属环保型产品；</w:t>
      </w:r>
    </w:p>
    <w:p>
      <w:pPr>
        <w:adjustRightInd w:val="0"/>
        <w:snapToGrid w:val="0"/>
        <w:spacing w:line="360" w:lineRule="auto"/>
        <w:ind w:firstLine="200"/>
        <w:rPr>
          <w:rFonts w:ascii="宋体" w:hAnsi="宋体" w:cs="宋体"/>
          <w:sz w:val="24"/>
        </w:rPr>
      </w:pPr>
      <w:r>
        <w:rPr>
          <w:rFonts w:hint="eastAsia" w:ascii="宋体" w:hAnsi="宋体" w:cs="宋体"/>
          <w:sz w:val="24"/>
        </w:rPr>
        <w:t>（5）平面布局及流程要符合相关的国家和行业规范要求，以能满足使用科室实际需求和顺利通过上级卫生主管部门验收、评估为标准，并满足医疗场所的院感防控质量和安全防护要求；</w:t>
      </w:r>
    </w:p>
    <w:p>
      <w:pPr>
        <w:adjustRightInd w:val="0"/>
        <w:snapToGrid w:val="0"/>
        <w:spacing w:line="360" w:lineRule="auto"/>
        <w:ind w:firstLine="200"/>
        <w:rPr>
          <w:rFonts w:ascii="宋体" w:hAnsi="宋体" w:cs="宋体"/>
          <w:sz w:val="24"/>
        </w:rPr>
      </w:pPr>
      <w:r>
        <w:rPr>
          <w:rFonts w:hint="eastAsia" w:ascii="宋体" w:hAnsi="宋体" w:cs="宋体"/>
          <w:sz w:val="24"/>
        </w:rPr>
        <w:t>（6）投标人进场后需根据项目现场实际情况进行，原有建筑、结构、暖通、水工、弱电、医气等的复核，设计需满足原有建筑容许条件，改造内容需满足现行规范；</w:t>
      </w:r>
    </w:p>
    <w:p>
      <w:pPr>
        <w:adjustRightInd w:val="0"/>
        <w:snapToGrid w:val="0"/>
        <w:spacing w:line="360" w:lineRule="auto"/>
        <w:ind w:firstLine="200"/>
        <w:rPr>
          <w:rFonts w:ascii="宋体" w:hAnsi="宋体" w:cs="宋体"/>
          <w:sz w:val="24"/>
        </w:rPr>
      </w:pPr>
      <w:r>
        <w:rPr>
          <w:rFonts w:hint="eastAsia" w:ascii="宋体" w:hAnsi="宋体" w:cs="宋体"/>
          <w:sz w:val="24"/>
        </w:rPr>
        <w:t>2.1.4建筑装饰材料要求</w:t>
      </w:r>
    </w:p>
    <w:p>
      <w:pPr>
        <w:adjustRightInd w:val="0"/>
        <w:snapToGrid w:val="0"/>
        <w:spacing w:line="360" w:lineRule="auto"/>
        <w:ind w:firstLine="468" w:firstLineChars="195"/>
        <w:rPr>
          <w:rFonts w:ascii="宋体" w:hAnsi="宋体" w:cs="宋体"/>
          <w:sz w:val="24"/>
        </w:rPr>
      </w:pPr>
      <w:r>
        <w:rPr>
          <w:rFonts w:hint="eastAsia" w:ascii="宋体" w:hAnsi="宋体" w:cs="宋体"/>
          <w:sz w:val="24"/>
        </w:rPr>
        <w:t>材料强度、耐久性、节能、环保、防火、性能满足相关规范标准，及本实验室使用要求。应遵循不产尘、不积尘、耐腐蚀、防潮防霉、容易清洁和符合防火要求的总原则。</w:t>
      </w:r>
    </w:p>
    <w:p>
      <w:pPr>
        <w:adjustRightInd w:val="0"/>
        <w:snapToGrid w:val="0"/>
        <w:spacing w:line="360" w:lineRule="auto"/>
        <w:ind w:firstLine="200"/>
        <w:outlineLvl w:val="3"/>
        <w:rPr>
          <w:rFonts w:ascii="宋体" w:hAnsi="宋体" w:cs="宋体"/>
          <w:b/>
          <w:bCs/>
          <w:sz w:val="24"/>
        </w:rPr>
      </w:pPr>
      <w:bookmarkStart w:id="16" w:name="_Toc17700"/>
      <w:bookmarkStart w:id="17" w:name="_Toc1240"/>
      <w:bookmarkStart w:id="18" w:name="_Toc8657"/>
      <w:r>
        <w:rPr>
          <w:rFonts w:hint="eastAsia" w:ascii="宋体" w:hAnsi="宋体" w:cs="宋体"/>
          <w:b/>
          <w:bCs/>
          <w:sz w:val="24"/>
        </w:rPr>
        <w:t>2.2各功能区及房间配置</w:t>
      </w:r>
      <w:bookmarkEnd w:id="16"/>
      <w:bookmarkEnd w:id="17"/>
      <w:bookmarkEnd w:id="18"/>
    </w:p>
    <w:p>
      <w:pPr>
        <w:adjustRightInd w:val="0"/>
        <w:snapToGrid w:val="0"/>
        <w:spacing w:line="360" w:lineRule="auto"/>
        <w:ind w:firstLine="200"/>
        <w:outlineLvl w:val="4"/>
        <w:rPr>
          <w:rFonts w:ascii="宋体" w:hAnsi="宋体" w:cs="宋体"/>
          <w:sz w:val="24"/>
        </w:rPr>
      </w:pPr>
      <w:bookmarkStart w:id="19" w:name="_Toc3733"/>
      <w:bookmarkStart w:id="20" w:name="_Toc26751"/>
      <w:bookmarkStart w:id="21" w:name="_Toc20821"/>
      <w:r>
        <w:rPr>
          <w:rFonts w:hint="eastAsia" w:ascii="宋体" w:hAnsi="宋体" w:cs="宋体"/>
          <w:sz w:val="24"/>
        </w:rPr>
        <w:t>2.2.1建设内容：</w:t>
      </w:r>
      <w:bookmarkEnd w:id="19"/>
      <w:bookmarkEnd w:id="20"/>
      <w:bookmarkEnd w:id="21"/>
    </w:p>
    <w:p>
      <w:pPr>
        <w:adjustRightInd w:val="0"/>
        <w:snapToGrid w:val="0"/>
        <w:spacing w:line="360" w:lineRule="auto"/>
        <w:ind w:firstLine="468" w:firstLineChars="195"/>
        <w:rPr>
          <w:rFonts w:ascii="宋体" w:hAnsi="宋体" w:cs="宋体"/>
          <w:sz w:val="24"/>
        </w:rPr>
      </w:pPr>
      <w:r>
        <w:rPr>
          <w:rFonts w:hint="eastAsia" w:ascii="宋体" w:hAnsi="宋体" w:cs="宋体"/>
          <w:sz w:val="24"/>
        </w:rPr>
        <w:t>四川省妇幼保健院天府院区咖啡吧其配套用房改造设计、施工（含与原有建筑衔接部分的设计及施工工作）等工作。房屋建筑面积约200.00㎡。（含室外）</w:t>
      </w:r>
    </w:p>
    <w:p>
      <w:pPr>
        <w:adjustRightInd w:val="0"/>
        <w:snapToGrid w:val="0"/>
        <w:spacing w:line="360" w:lineRule="auto"/>
        <w:ind w:firstLine="200"/>
        <w:rPr>
          <w:rFonts w:ascii="宋体" w:hAnsi="宋体" w:cs="宋体"/>
          <w:sz w:val="24"/>
        </w:rPr>
      </w:pPr>
      <w:r>
        <w:rPr>
          <w:rFonts w:hint="eastAsia" w:ascii="宋体" w:hAnsi="宋体" w:cs="宋体"/>
          <w:sz w:val="24"/>
        </w:rPr>
        <w:t>改造范围原始建筑图纸（不含与医院衔接部分区域）</w:t>
      </w:r>
    </w:p>
    <w:bookmarkEnd w:id="5"/>
    <w:p>
      <w:pPr>
        <w:adjustRightInd w:val="0"/>
        <w:snapToGrid w:val="0"/>
        <w:spacing w:line="360" w:lineRule="auto"/>
        <w:rPr>
          <w:rFonts w:ascii="宋体" w:hAnsi="宋体" w:cs="宋体"/>
          <w:sz w:val="24"/>
        </w:rPr>
      </w:pPr>
      <w:bookmarkStart w:id="22" w:name="_Toc22734"/>
      <w:bookmarkStart w:id="23" w:name="_Toc27574"/>
      <w:r>
        <w:rPr>
          <w:rFonts w:hint="eastAsia" w:ascii="宋体" w:hAnsi="宋体" w:cs="宋体"/>
          <w:sz w:val="24"/>
        </w:rPr>
        <w:t xml:space="preserve"> </w:t>
      </w:r>
      <w:r>
        <w:rPr>
          <w:rFonts w:hint="eastAsia" w:ascii="宋体" w:hAnsi="宋体" w:cs="宋体"/>
          <w:sz w:val="24"/>
        </w:rPr>
        <w:drawing>
          <wp:inline distT="0" distB="0" distL="114300" distR="114300">
            <wp:extent cx="5270500" cy="29686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2968625"/>
                    </a:xfrm>
                    <a:prstGeom prst="rect">
                      <a:avLst/>
                    </a:prstGeom>
                    <a:noFill/>
                    <a:ln>
                      <a:noFill/>
                    </a:ln>
                  </pic:spPr>
                </pic:pic>
              </a:graphicData>
            </a:graphic>
          </wp:inline>
        </w:drawing>
      </w:r>
    </w:p>
    <w:p>
      <w:pPr>
        <w:adjustRightInd w:val="0"/>
        <w:snapToGrid w:val="0"/>
        <w:spacing w:line="360" w:lineRule="auto"/>
        <w:ind w:firstLine="200"/>
        <w:rPr>
          <w:rFonts w:ascii="宋体" w:hAnsi="宋体" w:cs="宋体"/>
          <w:sz w:val="24"/>
        </w:rPr>
      </w:pPr>
      <w:r>
        <w:rPr>
          <w:rFonts w:hint="eastAsia" w:ascii="宋体" w:hAnsi="宋体" w:cs="宋体"/>
          <w:sz w:val="24"/>
        </w:rPr>
        <w:t>2.2.2设计内容：</w:t>
      </w:r>
      <w:bookmarkEnd w:id="22"/>
      <w:bookmarkEnd w:id="23"/>
    </w:p>
    <w:p>
      <w:pPr>
        <w:adjustRightInd w:val="0"/>
        <w:snapToGrid w:val="0"/>
        <w:spacing w:line="360" w:lineRule="auto"/>
        <w:ind w:firstLine="468" w:firstLineChars="195"/>
        <w:rPr>
          <w:rFonts w:ascii="宋体" w:hAnsi="宋体" w:cs="宋体"/>
          <w:sz w:val="24"/>
        </w:rPr>
      </w:pPr>
      <w:r>
        <w:rPr>
          <w:rFonts w:hint="eastAsia" w:ascii="宋体" w:hAnsi="宋体" w:cs="宋体"/>
          <w:sz w:val="24"/>
        </w:rPr>
        <w:t>（1）包括不限于本项目的室内装饰装修（含功能布局规划，方案设计（含效果图）、优化设计、施工图深化设计（含施工图预算）、家具设计与定制）、其他涉及的各专业施工图设计（含装饰装修、装修拆改，给排水（含纯水、污水）、消防（二次消防改造、火灾报警、防排烟改造）、暖通（通风空调、洁净系统）、电气系统（含电源、配电、接地、自控系统、强弱电、应急用电等）、弱电智能化系统（综合布线、室内门禁、IT网络、智能照明）；</w:t>
      </w:r>
    </w:p>
    <w:p>
      <w:pPr>
        <w:adjustRightInd w:val="0"/>
        <w:snapToGrid w:val="0"/>
        <w:spacing w:line="360" w:lineRule="auto"/>
        <w:ind w:firstLine="468" w:firstLineChars="195"/>
        <w:rPr>
          <w:rFonts w:ascii="宋体" w:hAnsi="宋体" w:cs="宋体"/>
          <w:sz w:val="24"/>
        </w:rPr>
      </w:pPr>
      <w:r>
        <w:rPr>
          <w:rFonts w:hint="eastAsia" w:ascii="宋体" w:hAnsi="宋体" w:cs="宋体"/>
          <w:sz w:val="24"/>
        </w:rPr>
        <w:t>（2）本改造区域与原有建筑相衔接工作的设计（含强弱电引接、给排水（含消防）引接、暖通引接、建筑引接、结构复核等））；</w:t>
      </w:r>
    </w:p>
    <w:p>
      <w:pPr>
        <w:adjustRightInd w:val="0"/>
        <w:snapToGrid w:val="0"/>
        <w:spacing w:line="360" w:lineRule="auto"/>
        <w:ind w:firstLine="468" w:firstLineChars="195"/>
        <w:rPr>
          <w:rFonts w:ascii="宋体" w:hAnsi="宋体" w:cs="宋体"/>
          <w:sz w:val="24"/>
        </w:rPr>
      </w:pPr>
      <w:r>
        <w:rPr>
          <w:rFonts w:hint="eastAsia" w:ascii="宋体" w:hAnsi="宋体" w:cs="宋体"/>
          <w:sz w:val="24"/>
        </w:rPr>
        <w:t>（3）第三方施工图审查、预算及结算编制、竣工图绘制、建筑结构复核等、协助采购人完成相应政府备案及认证工作（如有）、协助采购人完成报建手续，以及上述未涉及的但包含在合同约定的全部内容。</w:t>
      </w:r>
    </w:p>
    <w:p>
      <w:pPr>
        <w:adjustRightInd w:val="0"/>
        <w:snapToGrid w:val="0"/>
        <w:spacing w:line="360" w:lineRule="auto"/>
        <w:ind w:firstLine="468" w:firstLineChars="195"/>
        <w:rPr>
          <w:rFonts w:ascii="宋体" w:hAnsi="宋体" w:cs="宋体"/>
          <w:sz w:val="24"/>
        </w:rPr>
      </w:pPr>
      <w:r>
        <w:rPr>
          <w:rFonts w:hint="eastAsia" w:ascii="宋体" w:hAnsi="宋体" w:cs="宋体"/>
          <w:sz w:val="24"/>
        </w:rPr>
        <w:t>3、咖啡吧设备配置清单</w:t>
      </w:r>
    </w:p>
    <w:p>
      <w:pPr>
        <w:adjustRightInd w:val="0"/>
        <w:snapToGrid w:val="0"/>
        <w:spacing w:line="360" w:lineRule="auto"/>
        <w:ind w:firstLine="468" w:firstLineChars="195"/>
        <w:rPr>
          <w:rFonts w:ascii="宋体" w:hAnsi="宋体" w:cs="宋体"/>
          <w:sz w:val="24"/>
        </w:rPr>
      </w:pPr>
      <w:r>
        <w:rPr>
          <w:rFonts w:hint="eastAsia" w:ascii="宋体" w:hAnsi="宋体" w:cs="宋体"/>
          <w:sz w:val="24"/>
        </w:rPr>
        <w:t>需要配置的主要设备包括但不限于：</w:t>
      </w:r>
    </w:p>
    <w:tbl>
      <w:tblPr>
        <w:tblStyle w:val="10"/>
        <w:tblW w:w="5000" w:type="pct"/>
        <w:tblInd w:w="0" w:type="dxa"/>
        <w:tblLayout w:type="autofit"/>
        <w:tblCellMar>
          <w:top w:w="0" w:type="dxa"/>
          <w:left w:w="108" w:type="dxa"/>
          <w:bottom w:w="0" w:type="dxa"/>
          <w:right w:w="108" w:type="dxa"/>
        </w:tblCellMar>
      </w:tblPr>
      <w:tblGrid>
        <w:gridCol w:w="658"/>
        <w:gridCol w:w="1395"/>
        <w:gridCol w:w="3851"/>
        <w:gridCol w:w="786"/>
        <w:gridCol w:w="659"/>
        <w:gridCol w:w="1939"/>
      </w:tblGrid>
      <w:tr>
        <w:tblPrEx>
          <w:tblCellMar>
            <w:top w:w="0" w:type="dxa"/>
            <w:left w:w="108" w:type="dxa"/>
            <w:bottom w:w="0" w:type="dxa"/>
            <w:right w:w="108" w:type="dxa"/>
          </w:tblCellMar>
        </w:tblPrEx>
        <w:trPr>
          <w:trHeight w:val="57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设备清单（包括但不限于）</w:t>
            </w:r>
          </w:p>
        </w:tc>
      </w:tr>
      <w:tr>
        <w:tblPrEx>
          <w:tblCellMar>
            <w:top w:w="0" w:type="dxa"/>
            <w:left w:w="108" w:type="dxa"/>
            <w:bottom w:w="0" w:type="dxa"/>
            <w:right w:w="108" w:type="dxa"/>
          </w:tblCellMar>
        </w:tblPrEx>
        <w:trPr>
          <w:trHeight w:val="45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产品名称</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材质及说明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产品图片（仅为图例）</w:t>
            </w:r>
          </w:p>
        </w:tc>
      </w:tr>
      <w:tr>
        <w:tblPrEx>
          <w:tblCellMar>
            <w:top w:w="0" w:type="dxa"/>
            <w:left w:w="108" w:type="dxa"/>
            <w:bottom w:w="0" w:type="dxa"/>
            <w:right w:w="108" w:type="dxa"/>
          </w:tblCellMar>
        </w:tblPrEx>
        <w:trPr>
          <w:trHeight w:val="21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咖啡机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双锅炉系统≥10.L蒸汽锅炉，≥3L热水锅炉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预浸泡高压力+低流量提升萃取率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恒温系统  冲煮水温稳定 不失温</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进口恒压泵原装进口旋转水泵供水持续稳定</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数字PID，PID独立控温蒸汽强劲</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触摸屏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1410335</wp:posOffset>
                  </wp:positionV>
                  <wp:extent cx="771525" cy="565785"/>
                  <wp:effectExtent l="0" t="0" r="3175" b="5715"/>
                  <wp:wrapNone/>
                  <wp:docPr id="7" name="图片_4"/>
                  <wp:cNvGraphicFramePr/>
                  <a:graphic xmlns:a="http://schemas.openxmlformats.org/drawingml/2006/main">
                    <a:graphicData uri="http://schemas.openxmlformats.org/drawingml/2006/picture">
                      <pic:pic xmlns:pic="http://schemas.openxmlformats.org/drawingml/2006/picture">
                        <pic:nvPicPr>
                          <pic:cNvPr id="7" name="图片_4"/>
                          <pic:cNvPicPr/>
                        </pic:nvPicPr>
                        <pic:blipFill>
                          <a:blip r:embed="rId8"/>
                          <a:stretch>
                            <a:fillRect/>
                          </a:stretch>
                        </pic:blipFill>
                        <pic:spPr>
                          <a:xfrm>
                            <a:off x="0" y="0"/>
                            <a:ext cx="771525" cy="5657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1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电控磨豆机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功率 ≥450W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定量研磨控制模式 计时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研磨刻度调节方式 手动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显示屏</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2</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583565</wp:posOffset>
                  </wp:positionV>
                  <wp:extent cx="818515" cy="818515"/>
                  <wp:effectExtent l="0" t="0" r="6985" b="6985"/>
                  <wp:wrapNone/>
                  <wp:docPr id="9" name="图片_16"/>
                  <wp:cNvGraphicFramePr/>
                  <a:graphic xmlns:a="http://schemas.openxmlformats.org/drawingml/2006/main">
                    <a:graphicData uri="http://schemas.openxmlformats.org/drawingml/2006/picture">
                      <pic:pic xmlns:pic="http://schemas.openxmlformats.org/drawingml/2006/picture">
                        <pic:nvPicPr>
                          <pic:cNvPr id="9" name="图片_16"/>
                          <pic:cNvPicPr/>
                        </pic:nvPicPr>
                        <pic:blipFill>
                          <a:blip r:embed="rId9"/>
                          <a:stretch>
                            <a:fillRect/>
                          </a:stretch>
                        </pic:blipFill>
                        <pic:spPr>
                          <a:xfrm>
                            <a:off x="0" y="0"/>
                            <a:ext cx="818515" cy="8185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3</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咖啡机专用制冰机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产冰量：≥50KG</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储冰量：≥15KG</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冰块：月牙冰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1312" behindDoc="0" locked="0" layoutInCell="1" allowOverlap="1">
                  <wp:simplePos x="0" y="0"/>
                  <wp:positionH relativeFrom="column">
                    <wp:posOffset>-1270</wp:posOffset>
                  </wp:positionH>
                  <wp:positionV relativeFrom="paragraph">
                    <wp:posOffset>149860</wp:posOffset>
                  </wp:positionV>
                  <wp:extent cx="926465" cy="1323975"/>
                  <wp:effectExtent l="0" t="0" r="635" b="9525"/>
                  <wp:wrapNone/>
                  <wp:docPr id="8" name="图片_5"/>
                  <wp:cNvGraphicFramePr/>
                  <a:graphic xmlns:a="http://schemas.openxmlformats.org/drawingml/2006/main">
                    <a:graphicData uri="http://schemas.openxmlformats.org/drawingml/2006/picture">
                      <pic:pic xmlns:pic="http://schemas.openxmlformats.org/drawingml/2006/picture">
                        <pic:nvPicPr>
                          <pic:cNvPr id="8" name="图片_5"/>
                          <pic:cNvPicPr/>
                        </pic:nvPicPr>
                        <pic:blipFill>
                          <a:blip r:embed="rId10"/>
                          <a:stretch>
                            <a:fillRect/>
                          </a:stretch>
                        </pic:blipFill>
                        <pic:spPr>
                          <a:xfrm>
                            <a:off x="0" y="0"/>
                            <a:ext cx="926465" cy="13239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1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4</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蛋糕甜点展示柜</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1.无需排水。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2.LED灯源。</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3.采用导电膜，安全钢化玻璃。</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4.304不锈钢或大理石材质。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5.-5~5°中温及-15~20°冷冻，单层钢化防雾玻璃、前移门等箱体与玻璃平台。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2</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2336" behindDoc="0" locked="0" layoutInCell="1" allowOverlap="1">
                  <wp:simplePos x="0" y="0"/>
                  <wp:positionH relativeFrom="column">
                    <wp:posOffset>88900</wp:posOffset>
                  </wp:positionH>
                  <wp:positionV relativeFrom="paragraph">
                    <wp:posOffset>806450</wp:posOffset>
                  </wp:positionV>
                  <wp:extent cx="802005" cy="627380"/>
                  <wp:effectExtent l="0" t="0" r="10795" b="7620"/>
                  <wp:wrapNone/>
                  <wp:docPr id="6" name="图片_3"/>
                  <wp:cNvGraphicFramePr/>
                  <a:graphic xmlns:a="http://schemas.openxmlformats.org/drawingml/2006/main">
                    <a:graphicData uri="http://schemas.openxmlformats.org/drawingml/2006/picture">
                      <pic:pic xmlns:pic="http://schemas.openxmlformats.org/drawingml/2006/picture">
                        <pic:nvPicPr>
                          <pic:cNvPr id="6" name="图片_3"/>
                          <pic:cNvPicPr/>
                        </pic:nvPicPr>
                        <pic:blipFill>
                          <a:blip r:embed="rId11"/>
                          <a:stretch>
                            <a:fillRect/>
                          </a:stretch>
                        </pic:blipFill>
                        <pic:spPr>
                          <a:xfrm>
                            <a:off x="0" y="0"/>
                            <a:ext cx="802005" cy="6273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5</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水吧专用操作台</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材质：1.采用304# ≥1.2mm不锈钢制作；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2.柜体多功能操作收纳设计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2</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3360" behindDoc="0" locked="0" layoutInCell="1" allowOverlap="1">
                  <wp:simplePos x="0" y="0"/>
                  <wp:positionH relativeFrom="column">
                    <wp:posOffset>99695</wp:posOffset>
                  </wp:positionH>
                  <wp:positionV relativeFrom="paragraph">
                    <wp:posOffset>318135</wp:posOffset>
                  </wp:positionV>
                  <wp:extent cx="688975" cy="685800"/>
                  <wp:effectExtent l="0" t="0" r="9525" b="0"/>
                  <wp:wrapNone/>
                  <wp:docPr id="10" name="图片_7"/>
                  <wp:cNvGraphicFramePr/>
                  <a:graphic xmlns:a="http://schemas.openxmlformats.org/drawingml/2006/main">
                    <a:graphicData uri="http://schemas.openxmlformats.org/drawingml/2006/picture">
                      <pic:pic xmlns:pic="http://schemas.openxmlformats.org/drawingml/2006/picture">
                        <pic:nvPicPr>
                          <pic:cNvPr id="10" name="图片_7"/>
                          <pic:cNvPicPr/>
                        </pic:nvPicPr>
                        <pic:blipFill>
                          <a:blip r:embed="rId12"/>
                          <a:stretch>
                            <a:fillRect/>
                          </a:stretch>
                        </pic:blipFill>
                        <pic:spPr>
                          <a:xfrm>
                            <a:off x="0" y="0"/>
                            <a:ext cx="688975" cy="6858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6</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冷冻操作台</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化霜水自动蒸发，使用安心</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进口压缩机，高效，低噪音运转</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前置空气过滤网，方便维护</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食品级安全气囊耐腐蚀，保温性能更好  智能温控</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4384" behindDoc="0" locked="0" layoutInCell="1" allowOverlap="1">
                  <wp:simplePos x="0" y="0"/>
                  <wp:positionH relativeFrom="column">
                    <wp:posOffset>66675</wp:posOffset>
                  </wp:positionH>
                  <wp:positionV relativeFrom="paragraph">
                    <wp:posOffset>568325</wp:posOffset>
                  </wp:positionV>
                  <wp:extent cx="806450" cy="564515"/>
                  <wp:effectExtent l="0" t="0" r="6350" b="6985"/>
                  <wp:wrapNone/>
                  <wp:docPr id="5" name="图片_1"/>
                  <wp:cNvGraphicFramePr/>
                  <a:graphic xmlns:a="http://schemas.openxmlformats.org/drawingml/2006/main">
                    <a:graphicData uri="http://schemas.openxmlformats.org/drawingml/2006/picture">
                      <pic:pic xmlns:pic="http://schemas.openxmlformats.org/drawingml/2006/picture">
                        <pic:nvPicPr>
                          <pic:cNvPr id="5" name="图片_1"/>
                          <pic:cNvPicPr/>
                        </pic:nvPicPr>
                        <pic:blipFill>
                          <a:blip r:embed="rId13"/>
                          <a:stretch>
                            <a:fillRect/>
                          </a:stretch>
                        </pic:blipFill>
                        <pic:spPr>
                          <a:xfrm>
                            <a:off x="0" y="0"/>
                            <a:ext cx="806450" cy="5645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7</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冷藏操作台</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化霜水自动蒸发，使用安心</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进口压缩机，高效，低噪音运转</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前置空气过滤网，方便维护</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食品级安全气囊耐腐蚀，保温性能更好  智能温控</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5408" behindDoc="0" locked="0" layoutInCell="1" allowOverlap="1">
                  <wp:simplePos x="0" y="0"/>
                  <wp:positionH relativeFrom="column">
                    <wp:posOffset>57150</wp:posOffset>
                  </wp:positionH>
                  <wp:positionV relativeFrom="paragraph">
                    <wp:posOffset>588645</wp:posOffset>
                  </wp:positionV>
                  <wp:extent cx="996315" cy="725170"/>
                  <wp:effectExtent l="0" t="0" r="6985" b="11430"/>
                  <wp:wrapNone/>
                  <wp:docPr id="11" name="图片_2"/>
                  <wp:cNvGraphicFramePr/>
                  <a:graphic xmlns:a="http://schemas.openxmlformats.org/drawingml/2006/main">
                    <a:graphicData uri="http://schemas.openxmlformats.org/drawingml/2006/picture">
                      <pic:pic xmlns:pic="http://schemas.openxmlformats.org/drawingml/2006/picture">
                        <pic:nvPicPr>
                          <pic:cNvPr id="11" name="图片_2"/>
                          <pic:cNvPicPr/>
                        </pic:nvPicPr>
                        <pic:blipFill>
                          <a:blip r:embed="rId13"/>
                          <a:stretch>
                            <a:fillRect/>
                          </a:stretch>
                        </pic:blipFill>
                        <pic:spPr>
                          <a:xfrm>
                            <a:off x="0" y="0"/>
                            <a:ext cx="996315" cy="7251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34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8</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奶茶制冰机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产冰量：≥70KG</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储冰量：≥30KG</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冰块：方型冰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6432" behindDoc="0" locked="0" layoutInCell="1" allowOverlap="1">
                  <wp:simplePos x="0" y="0"/>
                  <wp:positionH relativeFrom="column">
                    <wp:posOffset>121920</wp:posOffset>
                  </wp:positionH>
                  <wp:positionV relativeFrom="paragraph">
                    <wp:posOffset>209550</wp:posOffset>
                  </wp:positionV>
                  <wp:extent cx="688340" cy="1027430"/>
                  <wp:effectExtent l="0" t="0" r="10160" b="1270"/>
                  <wp:wrapNone/>
                  <wp:docPr id="20" name="图片_6"/>
                  <wp:cNvGraphicFramePr/>
                  <a:graphic xmlns:a="http://schemas.openxmlformats.org/drawingml/2006/main">
                    <a:graphicData uri="http://schemas.openxmlformats.org/drawingml/2006/picture">
                      <pic:pic xmlns:pic="http://schemas.openxmlformats.org/drawingml/2006/picture">
                        <pic:nvPicPr>
                          <pic:cNvPr id="20" name="图片_6"/>
                          <pic:cNvPicPr/>
                        </pic:nvPicPr>
                        <pic:blipFill>
                          <a:blip r:embed="rId14"/>
                          <a:stretch>
                            <a:fillRect/>
                          </a:stretch>
                        </pic:blipFill>
                        <pic:spPr>
                          <a:xfrm>
                            <a:off x="0" y="0"/>
                            <a:ext cx="688340" cy="10274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4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9</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纯水机(四级)</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具备RO反渗膜；多级过滤；产水量≥1000G</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7456" behindDoc="0" locked="0" layoutInCell="1" allowOverlap="1">
                  <wp:simplePos x="0" y="0"/>
                  <wp:positionH relativeFrom="column">
                    <wp:posOffset>90805</wp:posOffset>
                  </wp:positionH>
                  <wp:positionV relativeFrom="paragraph">
                    <wp:posOffset>168275</wp:posOffset>
                  </wp:positionV>
                  <wp:extent cx="680085" cy="1169670"/>
                  <wp:effectExtent l="0" t="0" r="5715" b="11430"/>
                  <wp:wrapNone/>
                  <wp:docPr id="18" name="图片_8"/>
                  <wp:cNvGraphicFramePr/>
                  <a:graphic xmlns:a="http://schemas.openxmlformats.org/drawingml/2006/main">
                    <a:graphicData uri="http://schemas.openxmlformats.org/drawingml/2006/picture">
                      <pic:pic xmlns:pic="http://schemas.openxmlformats.org/drawingml/2006/picture">
                        <pic:nvPicPr>
                          <pic:cNvPr id="18" name="图片_8"/>
                          <pic:cNvPicPr/>
                        </pic:nvPicPr>
                        <pic:blipFill>
                          <a:blip r:embed="rId15"/>
                          <a:stretch>
                            <a:fillRect/>
                          </a:stretch>
                        </pic:blipFill>
                        <pic:spPr>
                          <a:xfrm>
                            <a:off x="0" y="0"/>
                            <a:ext cx="680085" cy="11696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3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10</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咖啡机渣粉盒</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材质：1采用304# 1.2mm不锈钢制作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配橡胶，减少噪音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8480" behindDoc="0" locked="0" layoutInCell="1" allowOverlap="1">
                  <wp:simplePos x="0" y="0"/>
                  <wp:positionH relativeFrom="column">
                    <wp:posOffset>148590</wp:posOffset>
                  </wp:positionH>
                  <wp:positionV relativeFrom="paragraph">
                    <wp:posOffset>318135</wp:posOffset>
                  </wp:positionV>
                  <wp:extent cx="646430" cy="684530"/>
                  <wp:effectExtent l="0" t="0" r="1270" b="1270"/>
                  <wp:wrapNone/>
                  <wp:docPr id="17" name="图片_9"/>
                  <wp:cNvGraphicFramePr/>
                  <a:graphic xmlns:a="http://schemas.openxmlformats.org/drawingml/2006/main">
                    <a:graphicData uri="http://schemas.openxmlformats.org/drawingml/2006/picture">
                      <pic:pic xmlns:pic="http://schemas.openxmlformats.org/drawingml/2006/picture">
                        <pic:nvPicPr>
                          <pic:cNvPr id="17" name="图片_9"/>
                          <pic:cNvPicPr/>
                        </pic:nvPicPr>
                        <pic:blipFill>
                          <a:blip r:embed="rId16"/>
                          <a:stretch>
                            <a:fillRect/>
                          </a:stretch>
                        </pic:blipFill>
                        <pic:spPr>
                          <a:xfrm>
                            <a:off x="0" y="0"/>
                            <a:ext cx="646430" cy="6845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34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开水机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功率 ≥300W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水量：≥20L</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2</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9504" behindDoc="0" locked="0" layoutInCell="1" allowOverlap="1">
                  <wp:simplePos x="0" y="0"/>
                  <wp:positionH relativeFrom="column">
                    <wp:posOffset>169545</wp:posOffset>
                  </wp:positionH>
                  <wp:positionV relativeFrom="paragraph">
                    <wp:posOffset>130175</wp:posOffset>
                  </wp:positionV>
                  <wp:extent cx="721360" cy="1174750"/>
                  <wp:effectExtent l="0" t="0" r="2540" b="6350"/>
                  <wp:wrapNone/>
                  <wp:docPr id="13" name="图片_15"/>
                  <wp:cNvGraphicFramePr/>
                  <a:graphic xmlns:a="http://schemas.openxmlformats.org/drawingml/2006/main">
                    <a:graphicData uri="http://schemas.openxmlformats.org/drawingml/2006/picture">
                      <pic:pic xmlns:pic="http://schemas.openxmlformats.org/drawingml/2006/picture">
                        <pic:nvPicPr>
                          <pic:cNvPr id="13" name="图片_15"/>
                          <pic:cNvPicPr/>
                        </pic:nvPicPr>
                        <pic:blipFill>
                          <a:blip r:embed="rId17"/>
                          <a:stretch>
                            <a:fillRect/>
                          </a:stretch>
                        </pic:blipFill>
                        <pic:spPr>
                          <a:xfrm>
                            <a:off x="0" y="0"/>
                            <a:ext cx="721360" cy="11747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62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静音破壁机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 xml:space="preserve">功率 ≥2200W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总容量 ≥1500ml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转速≥ 42000转/分钟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0528" behindDoc="0" locked="0" layoutInCell="1" allowOverlap="1">
                  <wp:simplePos x="0" y="0"/>
                  <wp:positionH relativeFrom="column">
                    <wp:posOffset>67945</wp:posOffset>
                  </wp:positionH>
                  <wp:positionV relativeFrom="paragraph">
                    <wp:posOffset>161925</wp:posOffset>
                  </wp:positionV>
                  <wp:extent cx="736600" cy="1323975"/>
                  <wp:effectExtent l="0" t="0" r="0" b="9525"/>
                  <wp:wrapNone/>
                  <wp:docPr id="16" name="图片_13"/>
                  <wp:cNvGraphicFramePr/>
                  <a:graphic xmlns:a="http://schemas.openxmlformats.org/drawingml/2006/main">
                    <a:graphicData uri="http://schemas.openxmlformats.org/drawingml/2006/picture">
                      <pic:pic xmlns:pic="http://schemas.openxmlformats.org/drawingml/2006/picture">
                        <pic:nvPicPr>
                          <pic:cNvPr id="16" name="图片_13"/>
                          <pic:cNvPicPr/>
                        </pic:nvPicPr>
                        <pic:blipFill>
                          <a:blip r:embed="rId18"/>
                          <a:stretch>
                            <a:fillRect/>
                          </a:stretch>
                        </pic:blipFill>
                        <pic:spPr>
                          <a:xfrm>
                            <a:off x="0" y="0"/>
                            <a:ext cx="736600" cy="13239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6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13</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定量果糖机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智能恒温系统，果糖定量精准，内置方形304不锈钢内胆。</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1552" behindDoc="0" locked="0" layoutInCell="1" allowOverlap="1">
                  <wp:simplePos x="0" y="0"/>
                  <wp:positionH relativeFrom="column">
                    <wp:posOffset>-39370</wp:posOffset>
                  </wp:positionH>
                  <wp:positionV relativeFrom="paragraph">
                    <wp:posOffset>118745</wp:posOffset>
                  </wp:positionV>
                  <wp:extent cx="976630" cy="1280160"/>
                  <wp:effectExtent l="0" t="0" r="1270" b="2540"/>
                  <wp:wrapNone/>
                  <wp:docPr id="19" name="图片_14"/>
                  <wp:cNvGraphicFramePr/>
                  <a:graphic xmlns:a="http://schemas.openxmlformats.org/drawingml/2006/main">
                    <a:graphicData uri="http://schemas.openxmlformats.org/drawingml/2006/picture">
                      <pic:pic xmlns:pic="http://schemas.openxmlformats.org/drawingml/2006/picture">
                        <pic:nvPicPr>
                          <pic:cNvPr id="19" name="图片_14"/>
                          <pic:cNvPicPr/>
                        </pic:nvPicPr>
                        <pic:blipFill>
                          <a:blip r:embed="rId19"/>
                          <a:stretch>
                            <a:fillRect/>
                          </a:stretch>
                        </pic:blipFill>
                        <pic:spPr>
                          <a:xfrm>
                            <a:off x="0" y="0"/>
                            <a:ext cx="976630" cy="12801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3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14</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气泡机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一键自动打气</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低温防结冰堵塞技术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可拆洗出气嘴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可打果汁或茶等混合饮料</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2576" behindDoc="0" locked="0" layoutInCell="1" allowOverlap="1">
                  <wp:simplePos x="0" y="0"/>
                  <wp:positionH relativeFrom="column">
                    <wp:posOffset>313690</wp:posOffset>
                  </wp:positionH>
                  <wp:positionV relativeFrom="paragraph">
                    <wp:posOffset>257810</wp:posOffset>
                  </wp:positionV>
                  <wp:extent cx="479425" cy="1102995"/>
                  <wp:effectExtent l="0" t="0" r="3175" b="1905"/>
                  <wp:wrapNone/>
                  <wp:docPr id="12" name="图片_10"/>
                  <wp:cNvGraphicFramePr/>
                  <a:graphic xmlns:a="http://schemas.openxmlformats.org/drawingml/2006/main">
                    <a:graphicData uri="http://schemas.openxmlformats.org/drawingml/2006/picture">
                      <pic:pic xmlns:pic="http://schemas.openxmlformats.org/drawingml/2006/picture">
                        <pic:nvPicPr>
                          <pic:cNvPr id="12" name="图片_10"/>
                          <pic:cNvPicPr/>
                        </pic:nvPicPr>
                        <pic:blipFill>
                          <a:blip r:embed="rId20"/>
                          <a:stretch>
                            <a:fillRect/>
                          </a:stretch>
                        </pic:blipFill>
                        <pic:spPr>
                          <a:xfrm>
                            <a:off x="0" y="0"/>
                            <a:ext cx="479425" cy="11029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6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15</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商用微波炉</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功率 ≥1700W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3600" behindDoc="0" locked="0" layoutInCell="1" allowOverlap="1">
                  <wp:simplePos x="0" y="0"/>
                  <wp:positionH relativeFrom="column">
                    <wp:posOffset>83185</wp:posOffset>
                  </wp:positionH>
                  <wp:positionV relativeFrom="paragraph">
                    <wp:posOffset>271145</wp:posOffset>
                  </wp:positionV>
                  <wp:extent cx="841375" cy="752475"/>
                  <wp:effectExtent l="0" t="0" r="9525" b="9525"/>
                  <wp:wrapNone/>
                  <wp:docPr id="14" name="图片_12"/>
                  <wp:cNvGraphicFramePr/>
                  <a:graphic xmlns:a="http://schemas.openxmlformats.org/drawingml/2006/main">
                    <a:graphicData uri="http://schemas.openxmlformats.org/drawingml/2006/picture">
                      <pic:pic xmlns:pic="http://schemas.openxmlformats.org/drawingml/2006/picture">
                        <pic:nvPicPr>
                          <pic:cNvPr id="14" name="图片_12"/>
                          <pic:cNvPicPr/>
                        </pic:nvPicPr>
                        <pic:blipFill>
                          <a:blip r:embed="rId21"/>
                          <a:stretch>
                            <a:fillRect/>
                          </a:stretch>
                        </pic:blipFill>
                        <pic:spPr>
                          <a:xfrm>
                            <a:off x="0" y="0"/>
                            <a:ext cx="841375" cy="7524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66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16</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商用烤箱</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功率 ≥4500W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全电脑控制带加湿功能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4624" behindDoc="0" locked="0" layoutInCell="1" allowOverlap="1">
                  <wp:simplePos x="0" y="0"/>
                  <wp:positionH relativeFrom="column">
                    <wp:posOffset>63500</wp:posOffset>
                  </wp:positionH>
                  <wp:positionV relativeFrom="paragraph">
                    <wp:posOffset>414020</wp:posOffset>
                  </wp:positionV>
                  <wp:extent cx="908685" cy="755650"/>
                  <wp:effectExtent l="0" t="0" r="5715" b="6350"/>
                  <wp:wrapNone/>
                  <wp:docPr id="15" name="图片_11"/>
                  <wp:cNvGraphicFramePr/>
                  <a:graphic xmlns:a="http://schemas.openxmlformats.org/drawingml/2006/main">
                    <a:graphicData uri="http://schemas.openxmlformats.org/drawingml/2006/picture">
                      <pic:pic xmlns:pic="http://schemas.openxmlformats.org/drawingml/2006/picture">
                        <pic:nvPicPr>
                          <pic:cNvPr id="15" name="图片_11"/>
                          <pic:cNvPicPr/>
                        </pic:nvPicPr>
                        <pic:blipFill>
                          <a:blip r:embed="rId22"/>
                          <a:stretch>
                            <a:fillRect/>
                          </a:stretch>
                        </pic:blipFill>
                        <pic:spPr>
                          <a:xfrm>
                            <a:off x="0" y="0"/>
                            <a:ext cx="908685" cy="7556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5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17</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杂件</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lang w:bidi="ar"/>
              </w:rPr>
              <w:t>吧台器具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批</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360" w:lineRule="auto"/>
              <w:rPr>
                <w:rFonts w:ascii="宋体" w:hAnsi="宋体" w:cs="宋体"/>
                <w:color w:val="000000"/>
                <w:sz w:val="24"/>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360" w:lineRule="auto"/>
              <w:rPr>
                <w:rFonts w:ascii="宋体" w:hAnsi="宋体" w:cs="宋体"/>
                <w:color w:val="000000"/>
                <w:sz w:val="24"/>
              </w:rPr>
            </w:pPr>
          </w:p>
        </w:tc>
        <w:tc>
          <w:tcPr>
            <w:tcW w:w="207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360" w:lineRule="auto"/>
              <w:rPr>
                <w:rFonts w:ascii="宋体" w:hAnsi="宋体" w:cs="宋体"/>
                <w:color w:val="000000"/>
                <w:sz w:val="24"/>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360" w:lineRule="auto"/>
              <w:rPr>
                <w:rFonts w:ascii="宋体" w:hAnsi="宋体" w:cs="宋体"/>
                <w:color w:val="000000"/>
                <w:sz w:val="24"/>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360" w:lineRule="auto"/>
              <w:rPr>
                <w:rFonts w:ascii="宋体" w:hAnsi="宋体" w:cs="宋体"/>
                <w:color w:val="000000"/>
                <w:sz w:val="24"/>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360" w:lineRule="auto"/>
              <w:rPr>
                <w:rFonts w:ascii="宋体" w:hAnsi="宋体" w:cs="宋体"/>
                <w:color w:val="000000"/>
                <w:sz w:val="24"/>
              </w:rPr>
            </w:pPr>
          </w:p>
        </w:tc>
      </w:tr>
    </w:tbl>
    <w:p>
      <w:pPr>
        <w:adjustRightInd w:val="0"/>
        <w:snapToGrid w:val="0"/>
        <w:spacing w:line="360" w:lineRule="auto"/>
        <w:ind w:firstLine="468" w:firstLineChars="195"/>
        <w:rPr>
          <w:rFonts w:ascii="宋体" w:hAnsi="宋体" w:cs="宋体"/>
          <w:sz w:val="24"/>
        </w:rPr>
      </w:pPr>
    </w:p>
    <w:p>
      <w:pPr>
        <w:adjustRightInd w:val="0"/>
        <w:snapToGrid w:val="0"/>
        <w:spacing w:line="360" w:lineRule="auto"/>
        <w:ind w:firstLine="468" w:firstLineChars="195"/>
        <w:rPr>
          <w:rFonts w:ascii="宋体" w:hAnsi="宋体" w:cs="宋体"/>
          <w:sz w:val="24"/>
        </w:rPr>
      </w:pPr>
    </w:p>
    <w:p>
      <w:pPr>
        <w:adjustRightInd w:val="0"/>
        <w:snapToGrid w:val="0"/>
        <w:spacing w:line="360" w:lineRule="auto"/>
        <w:ind w:firstLine="468" w:firstLineChars="195"/>
        <w:rPr>
          <w:rFonts w:ascii="宋体" w:hAnsi="宋体" w:cs="宋体"/>
          <w:sz w:val="24"/>
        </w:rPr>
      </w:pPr>
    </w:p>
    <w:p>
      <w:pPr>
        <w:adjustRightInd w:val="0"/>
        <w:snapToGrid w:val="0"/>
        <w:spacing w:line="360" w:lineRule="auto"/>
        <w:ind w:firstLine="470" w:firstLineChars="195"/>
        <w:outlineLvl w:val="3"/>
        <w:rPr>
          <w:rFonts w:ascii="宋体" w:hAnsi="宋体" w:cs="宋体"/>
          <w:b/>
          <w:bCs/>
          <w:sz w:val="24"/>
        </w:rPr>
      </w:pPr>
      <w:r>
        <w:rPr>
          <w:rFonts w:hint="eastAsia" w:ascii="宋体" w:hAnsi="宋体" w:cs="宋体"/>
          <w:b/>
          <w:bCs/>
          <w:sz w:val="24"/>
        </w:rPr>
        <w:t>3、质保期</w:t>
      </w:r>
    </w:p>
    <w:p>
      <w:pPr>
        <w:widowControl/>
        <w:autoSpaceDE w:val="0"/>
        <w:autoSpaceDN w:val="0"/>
        <w:adjustRightInd w:val="0"/>
        <w:snapToGrid w:val="0"/>
        <w:spacing w:line="360" w:lineRule="auto"/>
        <w:ind w:firstLine="468" w:firstLineChars="195"/>
        <w:jc w:val="left"/>
        <w:rPr>
          <w:rFonts w:ascii="宋体" w:hAnsi="宋体" w:cs="宋体"/>
          <w:sz w:val="24"/>
        </w:rPr>
      </w:pPr>
      <w:r>
        <w:rPr>
          <w:rFonts w:hint="eastAsia" w:ascii="宋体" w:hAnsi="宋体" w:cs="宋体"/>
          <w:sz w:val="24"/>
        </w:rPr>
        <w:t>双方根据《建设工程质量管理条例》及有关规定，要求本工程的质保期如下：</w:t>
      </w:r>
    </w:p>
    <w:p>
      <w:pPr>
        <w:widowControl/>
        <w:autoSpaceDE w:val="0"/>
        <w:autoSpaceDN w:val="0"/>
        <w:adjustRightInd w:val="0"/>
        <w:snapToGrid w:val="0"/>
        <w:spacing w:line="360" w:lineRule="auto"/>
        <w:ind w:firstLine="468" w:firstLineChars="195"/>
        <w:jc w:val="left"/>
        <w:rPr>
          <w:rFonts w:ascii="宋体" w:hAnsi="宋体" w:cs="宋体"/>
          <w:sz w:val="24"/>
        </w:rPr>
      </w:pPr>
      <w:r>
        <w:rPr>
          <w:rFonts w:hint="eastAsia" w:ascii="宋体" w:hAnsi="宋体" w:cs="宋体"/>
          <w:sz w:val="24"/>
        </w:rPr>
        <w:t>（1）装修工程为2年；</w:t>
      </w:r>
    </w:p>
    <w:p>
      <w:pPr>
        <w:pStyle w:val="15"/>
        <w:spacing w:line="360" w:lineRule="auto"/>
        <w:ind w:firstLine="480"/>
        <w:rPr>
          <w:rFonts w:ascii="宋体" w:hAnsi="宋体" w:cs="宋体"/>
          <w:sz w:val="24"/>
        </w:rPr>
      </w:pPr>
      <w:r>
        <w:rPr>
          <w:rFonts w:hint="eastAsia" w:ascii="宋体" w:hAnsi="宋体" w:cs="宋体"/>
          <w:sz w:val="24"/>
        </w:rPr>
        <w:t>（2）电气管线、给排水管道、设备安装工程为2年；</w:t>
      </w:r>
    </w:p>
    <w:p>
      <w:pPr>
        <w:pStyle w:val="15"/>
        <w:spacing w:line="360" w:lineRule="auto"/>
        <w:ind w:firstLine="480"/>
        <w:rPr>
          <w:rFonts w:ascii="宋体" w:hAnsi="宋体" w:cs="宋体"/>
          <w:sz w:val="24"/>
        </w:rPr>
      </w:pPr>
    </w:p>
    <w:p>
      <w:pPr>
        <w:adjustRightInd w:val="0"/>
        <w:snapToGrid w:val="0"/>
        <w:spacing w:line="360" w:lineRule="auto"/>
        <w:ind w:firstLine="200"/>
        <w:rPr>
          <w:rFonts w:ascii="宋体" w:hAnsi="宋体" w:cs="宋体"/>
          <w:sz w:val="24"/>
        </w:rPr>
      </w:pPr>
    </w:p>
    <w:p>
      <w:pPr>
        <w:adjustRightInd w:val="0"/>
        <w:snapToGrid w:val="0"/>
        <w:spacing w:line="360" w:lineRule="auto"/>
        <w:ind w:firstLine="200"/>
        <w:rPr>
          <w:rFonts w:ascii="宋体" w:hAnsi="宋体" w:cs="宋体"/>
          <w:sz w:val="24"/>
        </w:rPr>
      </w:pPr>
    </w:p>
    <w:p>
      <w:pPr>
        <w:adjustRightInd w:val="0"/>
        <w:snapToGrid w:val="0"/>
        <w:spacing w:line="360" w:lineRule="auto"/>
        <w:ind w:firstLine="200"/>
        <w:rPr>
          <w:rFonts w:ascii="宋体" w:hAnsi="宋体" w:cs="宋体"/>
          <w:sz w:val="24"/>
        </w:rPr>
      </w:pPr>
    </w:p>
    <w:p>
      <w:pPr>
        <w:adjustRightInd w:val="0"/>
        <w:snapToGrid w:val="0"/>
        <w:spacing w:line="360" w:lineRule="auto"/>
        <w:ind w:firstLine="200"/>
        <w:rPr>
          <w:rFonts w:ascii="宋体" w:hAnsi="宋体" w:cs="宋体"/>
          <w:sz w:val="24"/>
        </w:rPr>
      </w:pPr>
    </w:p>
    <w:p>
      <w:pPr>
        <w:adjustRightInd w:val="0"/>
        <w:snapToGrid w:val="0"/>
        <w:spacing w:line="360" w:lineRule="auto"/>
        <w:ind w:firstLine="200"/>
        <w:rPr>
          <w:rFonts w:ascii="宋体" w:hAnsi="宋体" w:cs="宋体"/>
          <w:sz w:val="24"/>
        </w:rPr>
      </w:pPr>
    </w:p>
    <w:p>
      <w:pPr>
        <w:adjustRightInd w:val="0"/>
        <w:snapToGrid w:val="0"/>
        <w:spacing w:line="360" w:lineRule="auto"/>
        <w:ind w:firstLine="200"/>
        <w:rPr>
          <w:rFonts w:ascii="宋体" w:hAnsi="宋体" w:cs="宋体"/>
          <w:sz w:val="24"/>
        </w:rPr>
      </w:pPr>
      <w:r>
        <w:rPr>
          <w:rFonts w:hint="eastAsia" w:ascii="宋体" w:hAnsi="宋体" w:cs="宋体"/>
          <w:sz w:val="24"/>
        </w:rPr>
        <w:t>评分标准</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150"/>
        <w:gridCol w:w="1003"/>
        <w:gridCol w:w="5216"/>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pacing w:line="360" w:lineRule="auto"/>
              <w:ind w:firstLine="28"/>
              <w:jc w:val="center"/>
              <w:rPr>
                <w:rFonts w:ascii="宋体" w:hAnsi="宋体" w:cs="宋体"/>
                <w:sz w:val="24"/>
              </w:rPr>
            </w:pPr>
            <w:r>
              <w:rPr>
                <w:rFonts w:hint="eastAsia" w:ascii="宋体" w:hAnsi="宋体" w:cs="宋体"/>
                <w:sz w:val="24"/>
              </w:rPr>
              <w:t>序号</w:t>
            </w:r>
          </w:p>
        </w:tc>
        <w:tc>
          <w:tcPr>
            <w:tcW w:w="619" w:type="pct"/>
            <w:vAlign w:val="center"/>
          </w:tcPr>
          <w:p>
            <w:pPr>
              <w:spacing w:line="360" w:lineRule="auto"/>
              <w:ind w:firstLine="28"/>
              <w:jc w:val="center"/>
              <w:rPr>
                <w:rFonts w:ascii="宋体" w:hAnsi="宋体" w:cs="宋体"/>
                <w:sz w:val="24"/>
              </w:rPr>
            </w:pPr>
            <w:r>
              <w:rPr>
                <w:rFonts w:hint="eastAsia" w:ascii="宋体" w:hAnsi="宋体" w:cs="宋体"/>
                <w:sz w:val="24"/>
              </w:rPr>
              <w:t>评分因素</w:t>
            </w:r>
          </w:p>
        </w:tc>
        <w:tc>
          <w:tcPr>
            <w:tcW w:w="540" w:type="pct"/>
            <w:vAlign w:val="center"/>
          </w:tcPr>
          <w:p>
            <w:pPr>
              <w:spacing w:line="360" w:lineRule="auto"/>
              <w:ind w:firstLine="28"/>
              <w:jc w:val="center"/>
              <w:rPr>
                <w:rFonts w:ascii="宋体" w:hAnsi="宋体" w:cs="宋体"/>
                <w:sz w:val="24"/>
              </w:rPr>
            </w:pPr>
            <w:r>
              <w:rPr>
                <w:rFonts w:hint="eastAsia" w:ascii="宋体" w:hAnsi="宋体" w:cs="宋体"/>
                <w:sz w:val="24"/>
              </w:rPr>
              <w:t>分　值</w:t>
            </w:r>
          </w:p>
        </w:tc>
        <w:tc>
          <w:tcPr>
            <w:tcW w:w="2808" w:type="pct"/>
            <w:vAlign w:val="center"/>
          </w:tcPr>
          <w:p>
            <w:pPr>
              <w:spacing w:line="360" w:lineRule="auto"/>
              <w:ind w:firstLine="28"/>
              <w:jc w:val="center"/>
              <w:rPr>
                <w:rFonts w:ascii="宋体" w:hAnsi="宋体" w:cs="宋体"/>
                <w:sz w:val="24"/>
              </w:rPr>
            </w:pPr>
            <w:r>
              <w:rPr>
                <w:rFonts w:hint="eastAsia" w:ascii="宋体" w:hAnsi="宋体" w:cs="宋体"/>
                <w:sz w:val="24"/>
              </w:rPr>
              <w:t>评分标准</w:t>
            </w:r>
          </w:p>
        </w:tc>
        <w:tc>
          <w:tcPr>
            <w:tcW w:w="635" w:type="pct"/>
            <w:vAlign w:val="center"/>
          </w:tcPr>
          <w:p>
            <w:pPr>
              <w:spacing w:line="360" w:lineRule="auto"/>
              <w:jc w:val="center"/>
              <w:rPr>
                <w:rFonts w:ascii="宋体" w:hAnsi="宋体" w:cs="宋体"/>
                <w:sz w:val="24"/>
              </w:rPr>
            </w:pPr>
            <w:r>
              <w:rPr>
                <w:rFonts w:hint="eastAsia" w:ascii="宋体" w:hAnsi="宋体" w:cs="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pacing w:line="360" w:lineRule="auto"/>
              <w:ind w:firstLine="28"/>
              <w:jc w:val="center"/>
              <w:rPr>
                <w:rFonts w:ascii="宋体" w:hAnsi="宋体" w:cs="宋体"/>
                <w:sz w:val="24"/>
              </w:rPr>
            </w:pPr>
            <w:r>
              <w:rPr>
                <w:rFonts w:hint="eastAsia" w:ascii="宋体" w:hAnsi="宋体" w:cs="宋体"/>
                <w:sz w:val="24"/>
              </w:rPr>
              <w:t>1</w:t>
            </w:r>
          </w:p>
        </w:tc>
        <w:tc>
          <w:tcPr>
            <w:tcW w:w="619" w:type="pct"/>
            <w:vAlign w:val="center"/>
          </w:tcPr>
          <w:p>
            <w:pPr>
              <w:spacing w:line="360" w:lineRule="auto"/>
              <w:rPr>
                <w:rFonts w:ascii="宋体" w:hAnsi="宋体" w:cs="宋体"/>
                <w:sz w:val="24"/>
              </w:rPr>
            </w:pPr>
            <w:r>
              <w:rPr>
                <w:rFonts w:hint="eastAsia" w:ascii="宋体" w:hAnsi="宋体" w:cs="宋体"/>
                <w:sz w:val="24"/>
              </w:rPr>
              <w:t>报价</w:t>
            </w:r>
          </w:p>
        </w:tc>
        <w:tc>
          <w:tcPr>
            <w:tcW w:w="540" w:type="pct"/>
            <w:vAlign w:val="center"/>
          </w:tcPr>
          <w:p>
            <w:pPr>
              <w:spacing w:line="360" w:lineRule="auto"/>
              <w:rPr>
                <w:rFonts w:ascii="宋体" w:hAnsi="宋体" w:cs="宋体"/>
                <w:sz w:val="24"/>
              </w:rPr>
            </w:pPr>
            <w:r>
              <w:rPr>
                <w:rFonts w:hint="eastAsia" w:ascii="宋体" w:hAnsi="宋体" w:cs="宋体"/>
                <w:sz w:val="24"/>
              </w:rPr>
              <w:t>10分</w:t>
            </w:r>
          </w:p>
        </w:tc>
        <w:tc>
          <w:tcPr>
            <w:tcW w:w="2808" w:type="pct"/>
            <w:vAlign w:val="center"/>
          </w:tcPr>
          <w:p>
            <w:pPr>
              <w:spacing w:line="360" w:lineRule="auto"/>
              <w:rPr>
                <w:rFonts w:ascii="宋体" w:hAnsi="宋体" w:cs="宋体"/>
                <w:b/>
                <w:bCs/>
                <w:sz w:val="24"/>
              </w:rPr>
            </w:pPr>
            <w:r>
              <w:rPr>
                <w:rFonts w:hint="eastAsia" w:ascii="宋体" w:hAnsi="宋体" w:cs="宋体"/>
                <w:b/>
                <w:bCs/>
                <w:sz w:val="24"/>
              </w:rPr>
              <w:t>1、设计部分及施工部分</w:t>
            </w:r>
          </w:p>
          <w:p>
            <w:pPr>
              <w:spacing w:line="360" w:lineRule="auto"/>
              <w:rPr>
                <w:rFonts w:ascii="宋体" w:hAnsi="宋体" w:cs="宋体"/>
                <w:sz w:val="24"/>
              </w:rPr>
            </w:pPr>
            <w:r>
              <w:rPr>
                <w:rFonts w:hint="eastAsia" w:ascii="宋体" w:hAnsi="宋体" w:cs="宋体"/>
                <w:sz w:val="24"/>
              </w:rPr>
              <w:t>满足招标文件要求且投标价格最低的报价为基准价，其价格分为满分。其他供应商的价格分统一按照下列公式计算：报价得分=(基准价／报价)* 10分</w:t>
            </w:r>
          </w:p>
        </w:tc>
        <w:tc>
          <w:tcPr>
            <w:tcW w:w="635" w:type="pct"/>
            <w:vAlign w:val="center"/>
          </w:tcPr>
          <w:p>
            <w:pPr>
              <w:spacing w:line="360" w:lineRule="auto"/>
              <w:rPr>
                <w:rFonts w:ascii="宋体" w:hAnsi="宋体" w:cs="宋体"/>
                <w:sz w:val="24"/>
              </w:rPr>
            </w:pPr>
            <w:r>
              <w:rPr>
                <w:rFonts w:hint="eastAsia" w:ascii="宋体" w:hAnsi="宋体" w:cs="宋体"/>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pacing w:line="360" w:lineRule="auto"/>
              <w:ind w:firstLine="28"/>
              <w:jc w:val="center"/>
              <w:rPr>
                <w:rFonts w:ascii="宋体" w:hAnsi="宋体" w:cs="宋体"/>
                <w:sz w:val="24"/>
              </w:rPr>
            </w:pPr>
            <w:r>
              <w:rPr>
                <w:rFonts w:hint="eastAsia" w:ascii="宋体" w:hAnsi="宋体" w:cs="宋体"/>
                <w:sz w:val="24"/>
              </w:rPr>
              <w:t>2</w:t>
            </w:r>
          </w:p>
        </w:tc>
        <w:tc>
          <w:tcPr>
            <w:tcW w:w="619" w:type="pct"/>
            <w:vAlign w:val="center"/>
          </w:tcPr>
          <w:p>
            <w:pPr>
              <w:spacing w:line="360" w:lineRule="auto"/>
              <w:rPr>
                <w:rFonts w:ascii="宋体" w:hAnsi="宋体" w:cs="宋体"/>
                <w:sz w:val="24"/>
              </w:rPr>
            </w:pPr>
            <w:r>
              <w:rPr>
                <w:rFonts w:hint="eastAsia" w:ascii="宋体" w:hAnsi="宋体" w:cs="宋体"/>
                <w:sz w:val="24"/>
              </w:rPr>
              <w:t>设计方案</w:t>
            </w:r>
          </w:p>
        </w:tc>
        <w:tc>
          <w:tcPr>
            <w:tcW w:w="540" w:type="pct"/>
            <w:vAlign w:val="center"/>
          </w:tcPr>
          <w:p>
            <w:pPr>
              <w:spacing w:line="360" w:lineRule="auto"/>
              <w:rPr>
                <w:rFonts w:ascii="宋体" w:hAnsi="宋体" w:cs="宋体"/>
                <w:sz w:val="24"/>
              </w:rPr>
            </w:pPr>
            <w:r>
              <w:rPr>
                <w:rFonts w:hint="eastAsia" w:ascii="宋体" w:hAnsi="宋体" w:cs="宋体"/>
                <w:sz w:val="24"/>
              </w:rPr>
              <w:t>40分</w:t>
            </w:r>
          </w:p>
        </w:tc>
        <w:tc>
          <w:tcPr>
            <w:tcW w:w="2808" w:type="pct"/>
            <w:vAlign w:val="center"/>
          </w:tcPr>
          <w:p>
            <w:pPr>
              <w:spacing w:line="360" w:lineRule="auto"/>
              <w:rPr>
                <w:rFonts w:ascii="宋体" w:hAnsi="宋体" w:cs="宋体"/>
                <w:sz w:val="24"/>
              </w:rPr>
            </w:pPr>
            <w:r>
              <w:rPr>
                <w:rFonts w:hint="eastAsia" w:ascii="宋体" w:hAnsi="宋体" w:cs="宋体"/>
                <w:sz w:val="24"/>
              </w:rPr>
              <w:t>1.投标人针对本项目制定设计方案，包括但不限于以下6项内容要素：①项目理解及分析（至少包含：项目设计重点、难点分析，以及对应的解决措施）、②设计团队各人员的简介及综合实力阐述、③满足招标文件以外的设计依据或规范或标准的整理、④设计工作台账建立、⑤设计工作进度计划及保障措施、⑥设计成果质量保障措施，在24分的基础上，每有一项内容要素缺失或遗漏的扣4分，每项内容要素中每存在一处缺陷的扣2分，单项要素最多扣4分。</w:t>
            </w:r>
          </w:p>
          <w:p>
            <w:pPr>
              <w:spacing w:line="360" w:lineRule="auto"/>
              <w:rPr>
                <w:rFonts w:ascii="宋体" w:hAnsi="宋体" w:cs="宋体"/>
                <w:sz w:val="24"/>
              </w:rPr>
            </w:pPr>
            <w:r>
              <w:rPr>
                <w:rFonts w:hint="eastAsia" w:ascii="宋体" w:hAnsi="宋体" w:cs="宋体"/>
                <w:sz w:val="24"/>
              </w:rPr>
              <w:t>2.</w:t>
            </w:r>
            <w:r>
              <w:rPr>
                <w:rFonts w:hint="eastAsia" w:ascii="宋体" w:hAnsi="宋体" w:cs="宋体"/>
                <w:b/>
                <w:bCs/>
                <w:sz w:val="24"/>
              </w:rPr>
              <w:t>投标人针对本项目提供平面布局设计图及实景效果图以及PPT讲解稿</w:t>
            </w:r>
            <w:r>
              <w:rPr>
                <w:rFonts w:hint="eastAsia" w:ascii="宋体" w:hAnsi="宋体" w:cs="宋体"/>
                <w:sz w:val="24"/>
              </w:rPr>
              <w:t>，评标委员会根据投标人提供图纸以下要素进行评审：①设计的合理性；②布局功能是否齐全；③设计是否考虑医院元素；④设计是否具备拓展性；</w:t>
            </w:r>
            <w:r>
              <w:rPr>
                <w:rFonts w:hint="eastAsia" w:ascii="宋体" w:hAnsi="宋体" w:cs="宋体"/>
                <w:b/>
                <w:bCs/>
                <w:sz w:val="24"/>
              </w:rPr>
              <w:t>未提供PPT讲解的不得分；</w:t>
            </w:r>
            <w:r>
              <w:rPr>
                <w:rFonts w:hint="eastAsia" w:ascii="宋体" w:hAnsi="宋体" w:cs="宋体"/>
                <w:sz w:val="24"/>
              </w:rPr>
              <w:t>在16分的基础上，每有一项内容要素缺失或遗漏的扣4分，每项内容要素中每存在一处缺陷的扣2分，单项要素最多扣4分。</w:t>
            </w:r>
          </w:p>
          <w:p>
            <w:pPr>
              <w:spacing w:line="360" w:lineRule="auto"/>
              <w:rPr>
                <w:rFonts w:ascii="宋体" w:hAnsi="宋体" w:cs="宋体"/>
                <w:sz w:val="24"/>
              </w:rPr>
            </w:pPr>
            <w:r>
              <w:rPr>
                <w:rFonts w:hint="eastAsia" w:ascii="宋体" w:hAnsi="宋体" w:cs="宋体"/>
                <w:sz w:val="24"/>
              </w:rPr>
              <w:t>注：1.缺陷是指存在项目名称错误、地点区域错误、内容与本项目需求无关、方案内容矛盾或表述前后不一致、仅有框架或标题、适用的标准（方法）错误、明显复制其他项目内容等任意一种情形。</w:t>
            </w:r>
          </w:p>
          <w:p>
            <w:pPr>
              <w:spacing w:line="360" w:lineRule="auto"/>
              <w:rPr>
                <w:rFonts w:ascii="宋体" w:hAnsi="宋体" w:cs="宋体"/>
                <w:sz w:val="24"/>
              </w:rPr>
            </w:pPr>
            <w:r>
              <w:rPr>
                <w:rFonts w:hint="eastAsia" w:ascii="宋体" w:hAnsi="宋体" w:cs="宋体"/>
                <w:sz w:val="24"/>
              </w:rPr>
              <w:t>2.平面布局图功能要求应尽量用图纸形式表达，确无法表达的，可用文字形式进行阐述。</w:t>
            </w:r>
          </w:p>
        </w:tc>
        <w:tc>
          <w:tcPr>
            <w:tcW w:w="635" w:type="pct"/>
            <w:vAlign w:val="center"/>
          </w:tcPr>
          <w:p>
            <w:pPr>
              <w:spacing w:line="360" w:lineRule="auto"/>
              <w:rPr>
                <w:rFonts w:ascii="宋体" w:hAnsi="宋体" w:cs="宋体"/>
                <w:sz w:val="24"/>
              </w:rPr>
            </w:pPr>
            <w:r>
              <w:rPr>
                <w:rFonts w:hint="eastAsia" w:ascii="宋体" w:hAnsi="宋体" w:cs="宋体"/>
                <w:sz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pacing w:line="360" w:lineRule="auto"/>
              <w:ind w:firstLine="28"/>
              <w:jc w:val="center"/>
              <w:rPr>
                <w:rFonts w:ascii="宋体" w:hAnsi="宋体" w:cs="宋体"/>
                <w:sz w:val="24"/>
              </w:rPr>
            </w:pPr>
            <w:r>
              <w:rPr>
                <w:rFonts w:hint="eastAsia" w:ascii="宋体" w:hAnsi="宋体" w:cs="宋体"/>
                <w:sz w:val="24"/>
              </w:rPr>
              <w:t>3</w:t>
            </w:r>
          </w:p>
        </w:tc>
        <w:tc>
          <w:tcPr>
            <w:tcW w:w="619" w:type="pct"/>
            <w:vAlign w:val="center"/>
          </w:tcPr>
          <w:p>
            <w:pPr>
              <w:spacing w:line="360" w:lineRule="auto"/>
              <w:rPr>
                <w:rFonts w:ascii="宋体" w:hAnsi="宋体" w:cs="宋体"/>
                <w:sz w:val="24"/>
              </w:rPr>
            </w:pPr>
            <w:r>
              <w:rPr>
                <w:rFonts w:hint="eastAsia" w:ascii="宋体" w:hAnsi="宋体" w:cs="宋体"/>
                <w:sz w:val="24"/>
              </w:rPr>
              <w:t>施工方案</w:t>
            </w:r>
          </w:p>
        </w:tc>
        <w:tc>
          <w:tcPr>
            <w:tcW w:w="540" w:type="pct"/>
            <w:vAlign w:val="center"/>
          </w:tcPr>
          <w:p>
            <w:pPr>
              <w:spacing w:line="360" w:lineRule="auto"/>
              <w:rPr>
                <w:rFonts w:ascii="宋体" w:hAnsi="宋体" w:cs="宋体"/>
                <w:sz w:val="24"/>
              </w:rPr>
            </w:pPr>
            <w:r>
              <w:rPr>
                <w:rFonts w:hint="eastAsia" w:ascii="宋体" w:hAnsi="宋体" w:cs="宋体"/>
                <w:sz w:val="24"/>
              </w:rPr>
              <w:t>28分</w:t>
            </w:r>
          </w:p>
        </w:tc>
        <w:tc>
          <w:tcPr>
            <w:tcW w:w="2808" w:type="pct"/>
            <w:vAlign w:val="center"/>
          </w:tcPr>
          <w:p>
            <w:pPr>
              <w:spacing w:line="360" w:lineRule="auto"/>
              <w:rPr>
                <w:rFonts w:ascii="宋体" w:hAnsi="宋体" w:cs="宋体"/>
                <w:sz w:val="24"/>
              </w:rPr>
            </w:pPr>
            <w:r>
              <w:rPr>
                <w:rFonts w:hint="eastAsia" w:ascii="宋体" w:hAnsi="宋体" w:cs="宋体"/>
                <w:sz w:val="24"/>
              </w:rPr>
              <w:t>投标人针对本项目制定施工方案，包括但不限于以下7项内容要素：</w:t>
            </w:r>
          </w:p>
          <w:p>
            <w:pPr>
              <w:spacing w:line="360" w:lineRule="auto"/>
              <w:rPr>
                <w:rFonts w:ascii="宋体" w:hAnsi="宋体" w:cs="宋体"/>
                <w:sz w:val="24"/>
              </w:rPr>
            </w:pPr>
            <w:r>
              <w:rPr>
                <w:rFonts w:hint="eastAsia" w:ascii="宋体" w:hAnsi="宋体" w:cs="宋体"/>
                <w:sz w:val="24"/>
              </w:rPr>
              <w:t>1.进度计划：根据供应商针对本项目提供的项目进度计划与措施，包括但不限于①项目进度计划(含计划开、竣工日期和施工进度网络图)、②项目工期保证措施、③劳动力配备及管理措施、④施工进度动态管理机制；</w:t>
            </w:r>
          </w:p>
          <w:p>
            <w:pPr>
              <w:spacing w:line="360" w:lineRule="auto"/>
              <w:rPr>
                <w:rFonts w:ascii="宋体" w:hAnsi="宋体" w:cs="宋体"/>
                <w:sz w:val="24"/>
              </w:rPr>
            </w:pPr>
            <w:r>
              <w:rPr>
                <w:rFonts w:hint="eastAsia" w:ascii="宋体" w:hAnsi="宋体" w:cs="宋体"/>
                <w:sz w:val="24"/>
              </w:rPr>
              <w:t>2.质量保证措施：根据供应商针对本项目提供的质量保证措施，包括但不限于①制定完整的质量保证体系、②确保项目质量的技术组织措施、③针对质量目标及质量控制的保证措施、④制定质量管理制度及检查制度；</w:t>
            </w:r>
          </w:p>
          <w:p>
            <w:pPr>
              <w:spacing w:line="360" w:lineRule="auto"/>
              <w:rPr>
                <w:rFonts w:ascii="宋体" w:hAnsi="宋体" w:cs="宋体"/>
                <w:sz w:val="24"/>
              </w:rPr>
            </w:pPr>
            <w:r>
              <w:rPr>
                <w:rFonts w:hint="eastAsia" w:ascii="宋体" w:hAnsi="宋体" w:cs="宋体"/>
                <w:sz w:val="24"/>
              </w:rPr>
              <w:t>3.安全保证措施:根据供应商针对本项目提供的安全保证措施，包括但不限于①制定文明施工安全保障体系、②制定文明施工措施、③安全教育及培训计划、④安全保证措施及安全应急预案；</w:t>
            </w:r>
          </w:p>
          <w:p>
            <w:pPr>
              <w:spacing w:line="360" w:lineRule="auto"/>
              <w:rPr>
                <w:rFonts w:ascii="宋体" w:hAnsi="宋体" w:cs="宋体"/>
                <w:sz w:val="24"/>
              </w:rPr>
            </w:pPr>
            <w:r>
              <w:rPr>
                <w:rFonts w:hint="eastAsia" w:ascii="宋体" w:hAnsi="宋体" w:cs="宋体"/>
                <w:sz w:val="24"/>
              </w:rPr>
              <w:t>4.资源配置计划：根据供应商针对本项目提供的资源配置计划包括但不限于①项目实际施工需求分析、②根据项目需求制定的设备配置计划、③根据项目需求制定的物料配置计划、④根据项目需求制定的人力配置计划；</w:t>
            </w:r>
          </w:p>
          <w:p>
            <w:pPr>
              <w:spacing w:line="360" w:lineRule="auto"/>
              <w:rPr>
                <w:rFonts w:ascii="宋体" w:hAnsi="宋体" w:cs="宋体"/>
                <w:sz w:val="24"/>
              </w:rPr>
            </w:pPr>
            <w:r>
              <w:rPr>
                <w:rFonts w:hint="eastAsia" w:ascii="宋体" w:hAnsi="宋体" w:cs="宋体"/>
                <w:sz w:val="24"/>
              </w:rPr>
              <w:t>5.环保文明措施：根据供应商针对本项目提供的环境文明措施，包括但不限于①制定完整的环境保护管理体系、②制定完整的 环境卫生保护措施、③污染物处理及排放措施、④现场管理人员环境保护职责及操作流程要求；</w:t>
            </w:r>
          </w:p>
          <w:p>
            <w:pPr>
              <w:spacing w:line="360" w:lineRule="auto"/>
              <w:rPr>
                <w:rFonts w:ascii="宋体" w:hAnsi="宋体" w:cs="宋体"/>
                <w:sz w:val="24"/>
              </w:rPr>
            </w:pPr>
            <w:r>
              <w:rPr>
                <w:rFonts w:hint="eastAsia" w:ascii="宋体" w:hAnsi="宋体" w:cs="宋体"/>
                <w:sz w:val="24"/>
              </w:rPr>
              <w:t>6.应急预案：根据供应商针对本项目提供的应急预案包括但不限于①项目实施过程风险因素分析、②施工过程常见风险因素应急预案、③针对本项目实施过程实际情况可能发生的应急预案、④施工舆情防控应急预案；</w:t>
            </w:r>
          </w:p>
          <w:p>
            <w:pPr>
              <w:spacing w:line="360" w:lineRule="auto"/>
              <w:rPr>
                <w:rFonts w:ascii="宋体" w:hAnsi="宋体" w:cs="宋体"/>
                <w:sz w:val="24"/>
              </w:rPr>
            </w:pPr>
            <w:r>
              <w:rPr>
                <w:rFonts w:hint="eastAsia" w:ascii="宋体" w:hAnsi="宋体" w:cs="宋体"/>
                <w:sz w:val="24"/>
              </w:rPr>
              <w:t>7.施工工艺内容：根据供应商针对本项目提供的施工工艺内容括但不限于①施工总平面布置保障、②施工作业顺序、③分部分项施工技术措施、④施工场地水电布置保障。</w:t>
            </w:r>
          </w:p>
          <w:p>
            <w:pPr>
              <w:spacing w:line="360" w:lineRule="auto"/>
              <w:rPr>
                <w:rFonts w:ascii="宋体" w:hAnsi="宋体" w:cs="宋体"/>
                <w:sz w:val="24"/>
              </w:rPr>
            </w:pPr>
            <w:r>
              <w:rPr>
                <w:rFonts w:hint="eastAsia" w:ascii="宋体" w:hAnsi="宋体" w:cs="宋体"/>
                <w:sz w:val="24"/>
              </w:rPr>
              <w:t>在28分的基础上，每有一项内容要素缺失或遗漏的扣1分，每项内容要素中每存在一处缺陷的扣0.5分，单项要素最多扣1分。</w:t>
            </w:r>
          </w:p>
          <w:p>
            <w:pPr>
              <w:spacing w:line="360" w:lineRule="auto"/>
              <w:rPr>
                <w:rFonts w:ascii="宋体" w:hAnsi="宋体" w:cs="宋体"/>
                <w:sz w:val="24"/>
              </w:rPr>
            </w:pPr>
            <w:r>
              <w:rPr>
                <w:rFonts w:hint="eastAsia" w:ascii="宋体" w:hAnsi="宋体" w:cs="宋体"/>
                <w:sz w:val="24"/>
              </w:rPr>
              <w:t>注：缺陷是指存在项目名称错误、地点区域错误、内容与本项目需求无关、方案内容矛盾或表述前后不一致、仅有框架或标题、适用的标准（方法）错误、明显复制其他项目内容等任意一种情形。</w:t>
            </w:r>
          </w:p>
        </w:tc>
        <w:tc>
          <w:tcPr>
            <w:tcW w:w="635" w:type="pct"/>
            <w:vAlign w:val="center"/>
          </w:tcPr>
          <w:p>
            <w:pPr>
              <w:spacing w:line="360" w:lineRule="auto"/>
              <w:rPr>
                <w:rFonts w:ascii="宋体" w:hAnsi="宋体" w:cs="宋体"/>
                <w:sz w:val="24"/>
              </w:rPr>
            </w:pPr>
            <w:r>
              <w:rPr>
                <w:rFonts w:hint="eastAsia" w:ascii="宋体" w:hAnsi="宋体" w:cs="宋体"/>
                <w:sz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pacing w:line="360" w:lineRule="auto"/>
              <w:ind w:firstLine="28"/>
              <w:jc w:val="center"/>
              <w:rPr>
                <w:rFonts w:ascii="宋体" w:hAnsi="宋体" w:cs="宋体"/>
                <w:sz w:val="24"/>
              </w:rPr>
            </w:pPr>
            <w:r>
              <w:rPr>
                <w:rFonts w:hint="eastAsia" w:ascii="宋体" w:hAnsi="宋体" w:cs="宋体"/>
                <w:sz w:val="24"/>
              </w:rPr>
              <w:t>4</w:t>
            </w:r>
          </w:p>
        </w:tc>
        <w:tc>
          <w:tcPr>
            <w:tcW w:w="619" w:type="pct"/>
            <w:vAlign w:val="center"/>
          </w:tcPr>
          <w:p>
            <w:pPr>
              <w:spacing w:line="360" w:lineRule="auto"/>
              <w:rPr>
                <w:rFonts w:ascii="宋体" w:hAnsi="宋体" w:cs="宋体"/>
                <w:sz w:val="24"/>
              </w:rPr>
            </w:pPr>
            <w:r>
              <w:rPr>
                <w:rFonts w:hint="eastAsia" w:ascii="宋体" w:hAnsi="宋体" w:cs="宋体"/>
                <w:sz w:val="24"/>
              </w:rPr>
              <w:t>人员配置</w:t>
            </w:r>
          </w:p>
        </w:tc>
        <w:tc>
          <w:tcPr>
            <w:tcW w:w="540" w:type="pct"/>
            <w:vAlign w:val="center"/>
          </w:tcPr>
          <w:p>
            <w:pPr>
              <w:spacing w:line="360" w:lineRule="auto"/>
              <w:rPr>
                <w:rFonts w:ascii="宋体" w:hAnsi="宋体" w:cs="宋体"/>
                <w:sz w:val="24"/>
              </w:rPr>
            </w:pPr>
            <w:r>
              <w:rPr>
                <w:rFonts w:hint="eastAsia" w:ascii="宋体" w:hAnsi="宋体" w:cs="宋体"/>
                <w:sz w:val="24"/>
              </w:rPr>
              <w:t>6分</w:t>
            </w:r>
          </w:p>
        </w:tc>
        <w:tc>
          <w:tcPr>
            <w:tcW w:w="2808" w:type="pct"/>
            <w:vAlign w:val="center"/>
          </w:tcPr>
          <w:p>
            <w:pPr>
              <w:spacing w:line="360" w:lineRule="auto"/>
              <w:rPr>
                <w:rFonts w:ascii="宋体" w:hAnsi="宋体" w:cs="宋体"/>
                <w:sz w:val="24"/>
              </w:rPr>
            </w:pPr>
            <w:r>
              <w:rPr>
                <w:rFonts w:hint="eastAsia" w:ascii="宋体" w:hAnsi="宋体" w:cs="宋体"/>
                <w:sz w:val="24"/>
              </w:rPr>
              <w:t xml:space="preserve">（一）设计人员： </w:t>
            </w:r>
          </w:p>
          <w:p>
            <w:pPr>
              <w:spacing w:line="360" w:lineRule="auto"/>
              <w:rPr>
                <w:rFonts w:ascii="宋体" w:hAnsi="宋体" w:cs="宋体"/>
                <w:sz w:val="24"/>
              </w:rPr>
            </w:pPr>
            <w:r>
              <w:rPr>
                <w:rFonts w:hint="eastAsia" w:ascii="宋体" w:hAnsi="宋体" w:cs="宋体"/>
                <w:sz w:val="24"/>
              </w:rPr>
              <w:t>1.设计总负责人：具有建筑设计类相关专业高级及以上技术职称得2分。</w:t>
            </w:r>
          </w:p>
          <w:p>
            <w:pPr>
              <w:spacing w:line="360" w:lineRule="auto"/>
              <w:rPr>
                <w:rFonts w:ascii="宋体" w:hAnsi="宋体" w:cs="宋体"/>
                <w:sz w:val="24"/>
              </w:rPr>
            </w:pPr>
            <w:r>
              <w:rPr>
                <w:rFonts w:hint="eastAsia" w:ascii="宋体" w:hAnsi="宋体" w:cs="宋体"/>
                <w:sz w:val="24"/>
              </w:rPr>
              <w:t>2.电气专业设计负责人：具有电气设计类相关专业中级及以上技术职称得1分；</w:t>
            </w:r>
          </w:p>
          <w:p>
            <w:pPr>
              <w:spacing w:line="360" w:lineRule="auto"/>
              <w:rPr>
                <w:rFonts w:ascii="宋体" w:hAnsi="宋体" w:cs="宋体"/>
                <w:sz w:val="24"/>
              </w:rPr>
            </w:pPr>
            <w:r>
              <w:rPr>
                <w:rFonts w:hint="eastAsia" w:ascii="宋体" w:hAnsi="宋体" w:cs="宋体"/>
                <w:sz w:val="24"/>
              </w:rPr>
              <w:t xml:space="preserve">（二）施工人员： </w:t>
            </w:r>
          </w:p>
          <w:p>
            <w:pPr>
              <w:spacing w:line="360" w:lineRule="auto"/>
              <w:rPr>
                <w:rFonts w:ascii="宋体" w:hAnsi="宋体" w:cs="宋体"/>
                <w:sz w:val="24"/>
              </w:rPr>
            </w:pPr>
            <w:r>
              <w:rPr>
                <w:rFonts w:hint="eastAsia" w:ascii="宋体" w:hAnsi="宋体" w:cs="宋体"/>
                <w:sz w:val="24"/>
              </w:rPr>
              <w:t>1.项目总负责人（即本项目施工负责人）：具有建筑类相关专业高级及以上技术职称得2分。</w:t>
            </w:r>
          </w:p>
          <w:p>
            <w:pPr>
              <w:spacing w:line="360" w:lineRule="auto"/>
              <w:rPr>
                <w:rFonts w:ascii="宋体" w:hAnsi="宋体" w:cs="宋体"/>
                <w:sz w:val="24"/>
              </w:rPr>
            </w:pPr>
            <w:r>
              <w:rPr>
                <w:rFonts w:hint="eastAsia" w:ascii="宋体" w:hAnsi="宋体" w:cs="宋体"/>
                <w:sz w:val="24"/>
              </w:rPr>
              <w:t>2.施工技术负责人：具有建筑类相关专业中级及以上技术职称得1分。</w:t>
            </w:r>
          </w:p>
          <w:p>
            <w:pPr>
              <w:spacing w:line="360" w:lineRule="auto"/>
              <w:rPr>
                <w:rFonts w:ascii="宋体" w:hAnsi="宋体" w:cs="宋体"/>
                <w:sz w:val="24"/>
              </w:rPr>
            </w:pPr>
            <w:r>
              <w:rPr>
                <w:rFonts w:hint="eastAsia" w:ascii="宋体" w:hAnsi="宋体" w:cs="宋体"/>
                <w:sz w:val="24"/>
              </w:rPr>
              <w:t>注：提供以上人员有效的证书复印件、投标人单位出具的在职证明或者劳动合同复印件予以佐证，否则不予认定。</w:t>
            </w:r>
          </w:p>
        </w:tc>
        <w:tc>
          <w:tcPr>
            <w:tcW w:w="635" w:type="pct"/>
            <w:vAlign w:val="center"/>
          </w:tcPr>
          <w:p>
            <w:pPr>
              <w:spacing w:line="360" w:lineRule="auto"/>
              <w:rPr>
                <w:rFonts w:ascii="宋体" w:hAnsi="宋体" w:cs="宋体"/>
                <w:sz w:val="24"/>
              </w:rPr>
            </w:pPr>
            <w:r>
              <w:rPr>
                <w:rFonts w:hint="eastAsia" w:ascii="宋体" w:hAnsi="宋体" w:cs="宋体"/>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pacing w:line="360" w:lineRule="auto"/>
              <w:ind w:firstLine="28"/>
              <w:jc w:val="center"/>
              <w:rPr>
                <w:rFonts w:ascii="宋体" w:hAnsi="宋体" w:cs="宋体"/>
                <w:sz w:val="24"/>
              </w:rPr>
            </w:pPr>
            <w:r>
              <w:rPr>
                <w:rFonts w:hint="eastAsia" w:ascii="宋体" w:hAnsi="宋体" w:cs="宋体"/>
                <w:sz w:val="24"/>
              </w:rPr>
              <w:t>5</w:t>
            </w:r>
          </w:p>
        </w:tc>
        <w:tc>
          <w:tcPr>
            <w:tcW w:w="619" w:type="pct"/>
            <w:vAlign w:val="center"/>
          </w:tcPr>
          <w:p>
            <w:pPr>
              <w:spacing w:line="360" w:lineRule="auto"/>
              <w:rPr>
                <w:rFonts w:ascii="宋体" w:hAnsi="宋体" w:cs="宋体"/>
                <w:sz w:val="24"/>
              </w:rPr>
            </w:pPr>
            <w:r>
              <w:rPr>
                <w:rFonts w:hint="eastAsia" w:ascii="宋体" w:hAnsi="宋体" w:cs="宋体"/>
                <w:sz w:val="24"/>
              </w:rPr>
              <w:t>业绩</w:t>
            </w:r>
          </w:p>
        </w:tc>
        <w:tc>
          <w:tcPr>
            <w:tcW w:w="540" w:type="pct"/>
            <w:vAlign w:val="center"/>
          </w:tcPr>
          <w:p>
            <w:pPr>
              <w:spacing w:line="360" w:lineRule="auto"/>
              <w:rPr>
                <w:rFonts w:ascii="宋体" w:hAnsi="宋体" w:cs="宋体"/>
                <w:sz w:val="24"/>
              </w:rPr>
            </w:pPr>
            <w:r>
              <w:rPr>
                <w:rFonts w:hint="eastAsia" w:ascii="宋体" w:hAnsi="宋体" w:cs="宋体"/>
                <w:sz w:val="24"/>
              </w:rPr>
              <w:t>16分</w:t>
            </w:r>
          </w:p>
        </w:tc>
        <w:tc>
          <w:tcPr>
            <w:tcW w:w="2808" w:type="pct"/>
            <w:vAlign w:val="center"/>
          </w:tcPr>
          <w:p>
            <w:pPr>
              <w:spacing w:line="360" w:lineRule="auto"/>
              <w:rPr>
                <w:rFonts w:ascii="宋体" w:hAnsi="宋体" w:cs="宋体"/>
                <w:sz w:val="24"/>
              </w:rPr>
            </w:pPr>
            <w:r>
              <w:rPr>
                <w:rFonts w:hint="eastAsia" w:ascii="宋体" w:hAnsi="宋体" w:cs="宋体"/>
                <w:sz w:val="24"/>
              </w:rPr>
              <w:t>评标委员会根据投标人提供业绩（2020年1月1日-至递交投标文件截止日）进行评定，每提供类似业绩得2分，最多16分；注：①提供合同复印件以及验收报告予以佐证，否则不予认定。</w:t>
            </w:r>
          </w:p>
          <w:p>
            <w:pPr>
              <w:spacing w:line="360" w:lineRule="auto"/>
              <w:rPr>
                <w:rFonts w:ascii="宋体" w:hAnsi="宋体" w:cs="宋体"/>
                <w:sz w:val="24"/>
              </w:rPr>
            </w:pPr>
            <w:r>
              <w:rPr>
                <w:rFonts w:hint="eastAsia" w:ascii="宋体" w:hAnsi="宋体" w:cs="宋体"/>
                <w:sz w:val="24"/>
              </w:rPr>
              <w:t>②时间的认定以合同签订的时间为准，合同签订的时间在2020年1月1日（不含）之前的不予认定。</w:t>
            </w:r>
          </w:p>
        </w:tc>
        <w:tc>
          <w:tcPr>
            <w:tcW w:w="635" w:type="pct"/>
            <w:vAlign w:val="center"/>
          </w:tcPr>
          <w:p>
            <w:pPr>
              <w:spacing w:line="360" w:lineRule="auto"/>
              <w:rPr>
                <w:rFonts w:ascii="宋体" w:hAnsi="宋体" w:cs="宋体"/>
                <w:sz w:val="24"/>
              </w:rPr>
            </w:pPr>
            <w:r>
              <w:rPr>
                <w:rFonts w:hint="eastAsia" w:ascii="宋体" w:hAnsi="宋体" w:cs="宋体"/>
                <w:sz w:val="24"/>
              </w:rPr>
              <w:t>共同评分因素</w:t>
            </w:r>
          </w:p>
        </w:tc>
      </w:tr>
    </w:tbl>
    <w:p>
      <w:pPr>
        <w:adjustRightInd w:val="0"/>
        <w:snapToGrid w:val="0"/>
        <w:spacing w:line="360" w:lineRule="auto"/>
        <w:ind w:firstLine="200"/>
        <w:rPr>
          <w:rFonts w:ascii="宋体" w:hAnsi="宋体" w:cs="宋体"/>
          <w:sz w:val="24"/>
        </w:rPr>
      </w:pPr>
    </w:p>
    <w:p>
      <w:pPr>
        <w:pStyle w:val="12"/>
        <w:spacing w:line="360" w:lineRule="auto"/>
        <w:jc w:val="center"/>
        <w:rPr>
          <w:rFonts w:ascii="宋体" w:hAnsi="宋体" w:cs="宋体"/>
          <w:sz w:val="24"/>
        </w:rPr>
      </w:pPr>
    </w:p>
    <w:p>
      <w:pPr>
        <w:snapToGrid w:val="0"/>
        <w:spacing w:line="360" w:lineRule="auto"/>
        <w:textAlignment w:val="baseline"/>
        <w:rPr>
          <w:rFonts w:ascii="宋体" w:hAnsi="宋体" w:cs="宋体"/>
          <w:b/>
          <w:bCs/>
          <w:sz w:val="24"/>
        </w:rPr>
      </w:pPr>
    </w:p>
    <w:p>
      <w:pPr>
        <w:snapToGrid w:val="0"/>
        <w:spacing w:line="360" w:lineRule="auto"/>
        <w:ind w:firstLine="487" w:firstLineChars="202"/>
        <w:textAlignment w:val="baseline"/>
        <w:rPr>
          <w:rFonts w:ascii="宋体" w:hAnsi="宋体" w:cs="宋体"/>
          <w:b/>
          <w:bCs/>
          <w:sz w:val="24"/>
        </w:rPr>
      </w:pPr>
      <w:r>
        <w:rPr>
          <w:rFonts w:hint="eastAsia" w:ascii="宋体" w:hAnsi="宋体" w:cs="宋体"/>
          <w:b/>
          <w:bCs/>
          <w:sz w:val="24"/>
        </w:rPr>
        <w:t>四、其他事项</w:t>
      </w:r>
    </w:p>
    <w:p>
      <w:pPr>
        <w:snapToGrid w:val="0"/>
        <w:spacing w:line="360" w:lineRule="auto"/>
        <w:ind w:firstLine="484" w:firstLineChars="202"/>
        <w:textAlignment w:val="baseline"/>
        <w:rPr>
          <w:rFonts w:ascii="宋体" w:hAnsi="宋体" w:cs="宋体"/>
          <w:sz w:val="24"/>
        </w:rPr>
      </w:pPr>
      <w:r>
        <w:rPr>
          <w:rFonts w:hint="eastAsia" w:ascii="宋体" w:hAnsi="宋体" w:cs="宋体"/>
          <w:sz w:val="24"/>
        </w:rPr>
        <w:t>有意愿投标的符合要求的单位可自行来院现场踏勘、洽谈。</w:t>
      </w:r>
    </w:p>
    <w:p>
      <w:pPr>
        <w:snapToGrid w:val="0"/>
        <w:spacing w:line="360" w:lineRule="auto"/>
        <w:ind w:firstLine="484" w:firstLineChars="202"/>
        <w:textAlignment w:val="baseline"/>
        <w:rPr>
          <w:rFonts w:ascii="宋体" w:hAnsi="宋体" w:cs="宋体"/>
          <w:sz w:val="24"/>
        </w:rPr>
      </w:pPr>
      <w:r>
        <w:rPr>
          <w:rFonts w:hint="eastAsia" w:ascii="宋体" w:hAnsi="宋体" w:cs="宋体"/>
          <w:sz w:val="24"/>
        </w:rPr>
        <w:t>上班时间为工作日8：00—12：00（上午），14：00—17：30（下午）</w:t>
      </w:r>
    </w:p>
    <w:p>
      <w:pPr>
        <w:snapToGrid w:val="0"/>
        <w:spacing w:line="360" w:lineRule="auto"/>
        <w:ind w:firstLine="484" w:firstLineChars="202"/>
        <w:textAlignment w:val="baseline"/>
        <w:rPr>
          <w:rFonts w:ascii="宋体" w:hAnsi="宋体" w:cs="宋体"/>
          <w:sz w:val="24"/>
        </w:rPr>
      </w:pPr>
      <w:r>
        <w:rPr>
          <w:rFonts w:hint="eastAsia" w:ascii="宋体" w:hAnsi="宋体" w:cs="宋体"/>
          <w:sz w:val="24"/>
        </w:rPr>
        <w:t>联系电话：028-65978223/028-65978238</w:t>
      </w:r>
    </w:p>
    <w:p>
      <w:pPr>
        <w:tabs>
          <w:tab w:val="left" w:pos="264"/>
        </w:tabs>
        <w:spacing w:line="360" w:lineRule="auto"/>
        <w:jc w:val="left"/>
        <w:rPr>
          <w:rFonts w:ascii="宋体" w:hAnsi="宋体" w:cs="宋体"/>
          <w:sz w:val="24"/>
        </w:rPr>
        <w:sectPr>
          <w:pgSz w:w="11906" w:h="16838"/>
          <w:pgMar w:top="1134" w:right="1417" w:bottom="1134" w:left="1417" w:header="851" w:footer="992" w:gutter="0"/>
          <w:cols w:space="720" w:num="1"/>
        </w:sectPr>
      </w:pPr>
    </w:p>
    <w:p>
      <w:pPr>
        <w:snapToGrid w:val="0"/>
        <w:spacing w:line="360" w:lineRule="auto"/>
        <w:textAlignment w:val="baseline"/>
        <w:rPr>
          <w:rFonts w:ascii="宋体" w:hAnsi="宋体" w:cs="宋体"/>
          <w:b/>
          <w:bCs/>
          <w:sz w:val="24"/>
        </w:rPr>
      </w:pPr>
      <w:r>
        <w:rPr>
          <w:rFonts w:hint="eastAsia" w:ascii="宋体" w:hAnsi="宋体" w:cs="宋体"/>
          <w:b/>
          <w:bCs/>
          <w:sz w:val="24"/>
        </w:rPr>
        <w:t>附件2 主要表格</w:t>
      </w:r>
    </w:p>
    <w:p>
      <w:pPr>
        <w:snapToGrid w:val="0"/>
        <w:spacing w:line="360" w:lineRule="auto"/>
        <w:textAlignment w:val="baseline"/>
        <w:rPr>
          <w:rFonts w:ascii="宋体" w:hAnsi="宋体" w:cs="宋体"/>
          <w:b/>
          <w:bCs/>
          <w:sz w:val="24"/>
        </w:rPr>
      </w:pPr>
      <w:r>
        <w:rPr>
          <w:rFonts w:hint="eastAsia" w:ascii="宋体" w:hAnsi="宋体" w:cs="宋体"/>
          <w:b/>
          <w:bCs/>
          <w:sz w:val="24"/>
        </w:rPr>
        <w:t>2-1</w:t>
      </w:r>
    </w:p>
    <w:p>
      <w:pPr>
        <w:widowControl/>
        <w:spacing w:line="360" w:lineRule="auto"/>
        <w:jc w:val="center"/>
        <w:rPr>
          <w:rFonts w:ascii="宋体" w:hAnsi="宋体" w:cs="宋体"/>
          <w:kern w:val="0"/>
          <w:sz w:val="24"/>
        </w:rPr>
      </w:pPr>
      <w:r>
        <w:rPr>
          <w:rFonts w:hint="eastAsia" w:ascii="宋体" w:hAnsi="宋体" w:cs="宋体"/>
          <w:kern w:val="0"/>
          <w:sz w:val="24"/>
          <w:u w:val="single"/>
        </w:rPr>
        <w:t>XXX</w:t>
      </w:r>
      <w:r>
        <w:rPr>
          <w:rFonts w:hint="eastAsia" w:ascii="宋体" w:hAnsi="宋体" w:cs="宋体"/>
          <w:kern w:val="0"/>
          <w:sz w:val="24"/>
        </w:rPr>
        <w:t>采购项目</w:t>
      </w:r>
    </w:p>
    <w:p>
      <w:pPr>
        <w:widowControl/>
        <w:spacing w:line="360" w:lineRule="auto"/>
        <w:jc w:val="center"/>
        <w:rPr>
          <w:rFonts w:ascii="宋体" w:hAnsi="宋体" w:cs="宋体"/>
          <w:kern w:val="0"/>
          <w:sz w:val="24"/>
        </w:rPr>
      </w:pPr>
      <w:r>
        <w:rPr>
          <w:rFonts w:hint="eastAsia" w:ascii="宋体" w:hAnsi="宋体" w:cs="宋体"/>
          <w:kern w:val="0"/>
          <w:sz w:val="24"/>
        </w:rPr>
        <w:t>报价一览表</w:t>
      </w:r>
    </w:p>
    <w:p>
      <w:pPr>
        <w:widowControl/>
        <w:spacing w:line="360" w:lineRule="auto"/>
        <w:jc w:val="center"/>
        <w:rPr>
          <w:rFonts w:ascii="宋体" w:hAnsi="宋体" w:cs="宋体"/>
          <w:kern w:val="0"/>
          <w:sz w:val="24"/>
        </w:rPr>
      </w:pPr>
      <w:r>
        <w:rPr>
          <w:rFonts w:hint="eastAsia" w:ascii="宋体" w:hAnsi="宋体" w:cs="宋体"/>
          <w:b/>
          <w:bCs/>
          <w:kern w:val="0"/>
          <w:sz w:val="24"/>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23"/>
        <w:gridCol w:w="2238"/>
        <w:gridCol w:w="1418"/>
        <w:gridCol w:w="141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82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序号</w:t>
            </w:r>
          </w:p>
        </w:tc>
        <w:tc>
          <w:tcPr>
            <w:tcW w:w="2238" w:type="dxa"/>
            <w:tcBorders>
              <w:top w:val="single" w:color="auto" w:sz="8"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项目名称</w:t>
            </w:r>
          </w:p>
        </w:tc>
        <w:tc>
          <w:tcPr>
            <w:tcW w:w="1418" w:type="dxa"/>
            <w:tcBorders>
              <w:top w:val="single" w:color="auto" w:sz="8"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小计（元）</w:t>
            </w:r>
          </w:p>
        </w:tc>
        <w:tc>
          <w:tcPr>
            <w:tcW w:w="1418" w:type="dxa"/>
            <w:tcBorders>
              <w:top w:val="single" w:color="auto" w:sz="8"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823" w:type="dxa"/>
            <w:tcBorders>
              <w:top w:val="outset" w:color="000000" w:sz="2"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2238"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left"/>
              <w:rPr>
                <w:rFonts w:ascii="宋体" w:hAnsi="宋体" w:cs="宋体"/>
                <w:kern w:val="0"/>
                <w:sz w:val="24"/>
              </w:rPr>
            </w:pPr>
            <w:r>
              <w:rPr>
                <w:rFonts w:hint="eastAsia" w:ascii="宋体" w:hAnsi="宋体" w:cs="宋体"/>
                <w:kern w:val="0"/>
                <w:sz w:val="24"/>
              </w:rPr>
              <w:t>设计费</w:t>
            </w:r>
          </w:p>
        </w:tc>
        <w:tc>
          <w:tcPr>
            <w:tcW w:w="1418"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left"/>
              <w:rPr>
                <w:rFonts w:ascii="宋体" w:hAnsi="宋体" w:cs="宋体"/>
                <w:kern w:val="0"/>
                <w:sz w:val="24"/>
              </w:rPr>
            </w:pPr>
          </w:p>
        </w:tc>
        <w:tc>
          <w:tcPr>
            <w:tcW w:w="1418"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left"/>
              <w:rPr>
                <w:rFonts w:ascii="宋体" w:hAnsi="宋体" w:cs="宋体"/>
                <w:kern w:val="0"/>
                <w:sz w:val="24"/>
              </w:rPr>
            </w:pPr>
            <w:r>
              <w:rPr>
                <w:rFonts w:hint="eastAsia" w:ascii="宋体" w:hAnsi="宋体" w:cs="宋体"/>
                <w:kern w:val="0"/>
                <w:sz w:val="24"/>
              </w:rPr>
              <w:t>不超过本项目最高限价的2</w:t>
            </w:r>
            <w:r>
              <w:rPr>
                <w:rFonts w:ascii="宋体" w:hAnsi="宋体" w:cs="宋体"/>
                <w:kern w:val="0"/>
                <w:sz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823" w:type="dxa"/>
            <w:tcBorders>
              <w:top w:val="outset" w:color="000000" w:sz="2"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hint="eastAsia" w:ascii="宋体" w:hAnsi="宋体" w:cs="宋体"/>
                <w:kern w:val="0"/>
                <w:sz w:val="24"/>
              </w:rPr>
            </w:pPr>
            <w:r>
              <w:rPr>
                <w:rFonts w:hint="eastAsia" w:ascii="宋体" w:hAnsi="宋体" w:cs="宋体"/>
                <w:kern w:val="0"/>
                <w:sz w:val="24"/>
              </w:rPr>
              <w:t>2</w:t>
            </w:r>
          </w:p>
        </w:tc>
        <w:tc>
          <w:tcPr>
            <w:tcW w:w="2238"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left"/>
              <w:rPr>
                <w:rFonts w:hint="eastAsia" w:ascii="宋体" w:hAnsi="宋体" w:cs="宋体"/>
                <w:kern w:val="0"/>
                <w:sz w:val="24"/>
              </w:rPr>
            </w:pPr>
            <w:r>
              <w:rPr>
                <w:rFonts w:hint="eastAsia" w:ascii="宋体" w:hAnsi="宋体" w:cs="宋体"/>
                <w:kern w:val="0"/>
                <w:sz w:val="24"/>
              </w:rPr>
              <w:t>装修改造（含设备）</w:t>
            </w:r>
          </w:p>
        </w:tc>
        <w:tc>
          <w:tcPr>
            <w:tcW w:w="1418"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left"/>
              <w:rPr>
                <w:rFonts w:ascii="宋体" w:hAnsi="宋体" w:cs="宋体"/>
                <w:kern w:val="0"/>
                <w:sz w:val="24"/>
              </w:rPr>
            </w:pPr>
          </w:p>
        </w:tc>
        <w:tc>
          <w:tcPr>
            <w:tcW w:w="1418"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left"/>
              <w:rPr>
                <w:rFonts w:ascii="宋体" w:hAnsi="宋体" w:cs="宋体"/>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823" w:type="dxa"/>
            <w:tcBorders>
              <w:top w:val="outset" w:color="000000" w:sz="2"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kern w:val="0"/>
                <w:sz w:val="24"/>
              </w:rPr>
            </w:pPr>
          </w:p>
        </w:tc>
        <w:tc>
          <w:tcPr>
            <w:tcW w:w="2238"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合计</w:t>
            </w:r>
          </w:p>
        </w:tc>
        <w:tc>
          <w:tcPr>
            <w:tcW w:w="1418"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kern w:val="0"/>
                <w:sz w:val="24"/>
              </w:rPr>
            </w:pPr>
          </w:p>
        </w:tc>
        <w:tc>
          <w:tcPr>
            <w:tcW w:w="1418"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kern w:val="0"/>
                <w:sz w:val="24"/>
              </w:rPr>
            </w:pPr>
          </w:p>
        </w:tc>
      </w:tr>
    </w:tbl>
    <w:p>
      <w:pPr>
        <w:widowControl/>
        <w:spacing w:line="360" w:lineRule="auto"/>
        <w:jc w:val="left"/>
        <w:rPr>
          <w:rFonts w:ascii="宋体" w:hAnsi="宋体" w:cs="宋体"/>
          <w:kern w:val="0"/>
          <w:sz w:val="24"/>
        </w:rPr>
      </w:pPr>
    </w:p>
    <w:p>
      <w:pPr>
        <w:widowControl/>
        <w:spacing w:line="360" w:lineRule="auto"/>
        <w:jc w:val="left"/>
        <w:rPr>
          <w:rFonts w:ascii="宋体" w:hAnsi="宋体" w:cs="宋体"/>
          <w:kern w:val="0"/>
          <w:sz w:val="24"/>
        </w:rPr>
      </w:pPr>
      <w:r>
        <w:rPr>
          <w:rFonts w:hint="eastAsia" w:ascii="宋体" w:hAnsi="宋体" w:cs="宋体"/>
          <w:kern w:val="0"/>
          <w:sz w:val="24"/>
        </w:rPr>
        <w:t xml:space="preserve">注：  </w:t>
      </w:r>
    </w:p>
    <w:p>
      <w:pPr>
        <w:widowControl/>
        <w:numPr>
          <w:ilvl w:val="0"/>
          <w:numId w:val="2"/>
        </w:numPr>
        <w:spacing w:line="360" w:lineRule="auto"/>
        <w:jc w:val="left"/>
        <w:rPr>
          <w:rFonts w:ascii="宋体" w:hAnsi="宋体" w:cs="宋体"/>
          <w:kern w:val="0"/>
          <w:sz w:val="24"/>
        </w:rPr>
      </w:pPr>
      <w:r>
        <w:rPr>
          <w:rFonts w:hint="eastAsia" w:ascii="宋体" w:hAnsi="宋体" w:cs="宋体"/>
          <w:kern w:val="0"/>
          <w:sz w:val="24"/>
        </w:rPr>
        <w:t>报价应是最终用户验收合格后的总价，此报价含税，含运费，含安装费等各项费用以及采购文件规定的其它费用。</w:t>
      </w:r>
    </w:p>
    <w:p>
      <w:pPr>
        <w:widowControl/>
        <w:numPr>
          <w:ilvl w:val="0"/>
          <w:numId w:val="2"/>
        </w:numPr>
        <w:spacing w:line="360" w:lineRule="auto"/>
        <w:jc w:val="left"/>
        <w:rPr>
          <w:rFonts w:ascii="宋体" w:hAnsi="宋体" w:cs="宋体"/>
          <w:kern w:val="0"/>
          <w:sz w:val="24"/>
        </w:rPr>
      </w:pPr>
      <w:r>
        <w:rPr>
          <w:rFonts w:hint="eastAsia" w:ascii="宋体" w:hAnsi="宋体" w:cs="宋体"/>
          <w:kern w:val="0"/>
          <w:sz w:val="24"/>
        </w:rPr>
        <w:t>“报价一览表”为多页的，每页均需由法定代表人或授权代表签字并盖投标人印章。</w:t>
      </w:r>
    </w:p>
    <w:p>
      <w:pPr>
        <w:widowControl/>
        <w:numPr>
          <w:ilvl w:val="0"/>
          <w:numId w:val="2"/>
        </w:numPr>
        <w:spacing w:line="360" w:lineRule="auto"/>
        <w:jc w:val="left"/>
        <w:rPr>
          <w:rFonts w:ascii="宋体" w:hAnsi="宋体" w:cs="宋体"/>
          <w:kern w:val="0"/>
          <w:sz w:val="24"/>
        </w:rPr>
      </w:pPr>
      <w:r>
        <w:rPr>
          <w:rFonts w:hint="eastAsia" w:ascii="宋体" w:hAnsi="宋体" w:cs="宋体"/>
          <w:kern w:val="0"/>
          <w:sz w:val="24"/>
        </w:rPr>
        <w:t>“报价一览表”需单独密封。</w:t>
      </w:r>
    </w:p>
    <w:p>
      <w:pPr>
        <w:widowControl/>
        <w:spacing w:line="360" w:lineRule="auto"/>
        <w:jc w:val="left"/>
        <w:rPr>
          <w:rFonts w:ascii="宋体" w:hAnsi="宋体" w:cs="宋体"/>
          <w:kern w:val="0"/>
          <w:sz w:val="24"/>
        </w:rPr>
      </w:pPr>
      <w:r>
        <w:rPr>
          <w:rFonts w:hint="eastAsia" w:ascii="宋体" w:hAnsi="宋体" w:cs="宋体"/>
          <w:kern w:val="0"/>
          <w:sz w:val="24"/>
        </w:rPr>
        <w:t xml:space="preserve">供应商名称（盖章）：        </w:t>
      </w:r>
    </w:p>
    <w:p>
      <w:pPr>
        <w:widowControl/>
        <w:spacing w:line="360" w:lineRule="auto"/>
        <w:jc w:val="left"/>
        <w:rPr>
          <w:rFonts w:ascii="宋体" w:hAnsi="宋体" w:cs="宋体"/>
          <w:kern w:val="0"/>
          <w:sz w:val="24"/>
        </w:rPr>
      </w:pPr>
      <w:r>
        <w:rPr>
          <w:rFonts w:hint="eastAsia" w:ascii="宋体" w:hAnsi="宋体" w:cs="宋体"/>
          <w:kern w:val="0"/>
          <w:sz w:val="24"/>
        </w:rPr>
        <w:t xml:space="preserve">法定代表人或授权代表（签字）：     </w:t>
      </w:r>
    </w:p>
    <w:p>
      <w:pPr>
        <w:widowControl/>
        <w:spacing w:line="360" w:lineRule="auto"/>
        <w:ind w:firstLine="480"/>
        <w:jc w:val="left"/>
        <w:rPr>
          <w:rFonts w:ascii="宋体" w:hAnsi="宋体" w:cs="宋体"/>
          <w:kern w:val="0"/>
          <w:sz w:val="24"/>
        </w:rPr>
      </w:pPr>
      <w:r>
        <w:rPr>
          <w:rFonts w:hint="eastAsia" w:ascii="宋体" w:hAnsi="宋体" w:cs="宋体"/>
          <w:kern w:val="0"/>
          <w:sz w:val="24"/>
        </w:rPr>
        <w:t>日期：</w:t>
      </w:r>
    </w:p>
    <w:p>
      <w:pPr>
        <w:widowControl/>
        <w:spacing w:line="360" w:lineRule="auto"/>
        <w:jc w:val="left"/>
        <w:rPr>
          <w:rFonts w:ascii="宋体" w:hAnsi="宋体" w:cs="宋体"/>
          <w:kern w:val="0"/>
          <w:sz w:val="24"/>
        </w:rPr>
      </w:pPr>
      <w:r>
        <w:rPr>
          <w:rFonts w:hint="eastAsia" w:ascii="宋体" w:hAnsi="宋体" w:cs="宋体"/>
          <w:kern w:val="0"/>
          <w:sz w:val="24"/>
        </w:rPr>
        <w:t xml:space="preserve"> </w:t>
      </w:r>
    </w:p>
    <w:p>
      <w:pPr>
        <w:widowControl/>
        <w:spacing w:line="360" w:lineRule="auto"/>
        <w:jc w:val="center"/>
        <w:rPr>
          <w:rFonts w:ascii="宋体" w:hAnsi="宋体" w:cs="宋体"/>
          <w:kern w:val="0"/>
          <w:sz w:val="24"/>
        </w:rPr>
      </w:pPr>
    </w:p>
    <w:p>
      <w:pPr>
        <w:widowControl/>
        <w:spacing w:line="360" w:lineRule="auto"/>
        <w:jc w:val="left"/>
        <w:rPr>
          <w:rFonts w:ascii="宋体" w:hAnsi="宋体" w:cs="宋体"/>
          <w:b/>
          <w:sz w:val="24"/>
          <w:lang w:val="zh-CN"/>
        </w:rPr>
      </w:pPr>
    </w:p>
    <w:p>
      <w:pPr>
        <w:pStyle w:val="3"/>
        <w:spacing w:line="360" w:lineRule="auto"/>
        <w:rPr>
          <w:rFonts w:ascii="宋体" w:hAnsi="宋体" w:cs="宋体"/>
          <w:b/>
          <w:sz w:val="24"/>
          <w:lang w:val="zh-CN"/>
        </w:rPr>
      </w:pPr>
    </w:p>
    <w:p>
      <w:pPr>
        <w:spacing w:line="360" w:lineRule="auto"/>
        <w:rPr>
          <w:rFonts w:ascii="宋体" w:hAnsi="宋体" w:cs="宋体"/>
          <w:b/>
          <w:sz w:val="24"/>
          <w:lang w:val="zh-CN"/>
        </w:rPr>
      </w:pPr>
    </w:p>
    <w:p>
      <w:pPr>
        <w:pStyle w:val="2"/>
        <w:tabs>
          <w:tab w:val="left" w:pos="540"/>
        </w:tabs>
        <w:spacing w:beforeAutospacing="0" w:afterAutospacing="0" w:line="360" w:lineRule="auto"/>
        <w:ind w:left="720" w:hanging="720"/>
        <w:jc w:val="center"/>
        <w:rPr>
          <w:bCs w:val="0"/>
          <w:sz w:val="24"/>
          <w:szCs w:val="24"/>
          <w:lang w:val="zh-CN"/>
        </w:rPr>
      </w:pPr>
    </w:p>
    <w:p>
      <w:pPr>
        <w:pStyle w:val="2"/>
        <w:tabs>
          <w:tab w:val="left" w:pos="540"/>
        </w:tabs>
        <w:spacing w:beforeAutospacing="0" w:afterAutospacing="0" w:line="360" w:lineRule="auto"/>
        <w:ind w:left="720" w:hanging="720"/>
        <w:jc w:val="center"/>
        <w:rPr>
          <w:bCs w:val="0"/>
          <w:sz w:val="24"/>
          <w:szCs w:val="24"/>
          <w:lang w:val="zh-CN"/>
        </w:rPr>
      </w:pPr>
    </w:p>
    <w:p>
      <w:pPr>
        <w:pStyle w:val="2"/>
        <w:tabs>
          <w:tab w:val="left" w:pos="540"/>
        </w:tabs>
        <w:spacing w:beforeAutospacing="0" w:afterAutospacing="0" w:line="360" w:lineRule="auto"/>
        <w:ind w:left="720" w:hanging="720"/>
        <w:jc w:val="center"/>
        <w:rPr>
          <w:bCs w:val="0"/>
          <w:sz w:val="24"/>
          <w:szCs w:val="24"/>
          <w:lang w:val="zh-CN"/>
        </w:rPr>
      </w:pPr>
    </w:p>
    <w:p>
      <w:pPr>
        <w:pStyle w:val="2"/>
        <w:tabs>
          <w:tab w:val="left" w:pos="540"/>
        </w:tabs>
        <w:spacing w:beforeAutospacing="0" w:afterAutospacing="0" w:line="360" w:lineRule="auto"/>
        <w:ind w:left="720" w:hanging="720"/>
        <w:jc w:val="center"/>
        <w:rPr>
          <w:bCs w:val="0"/>
          <w:sz w:val="24"/>
          <w:szCs w:val="24"/>
          <w:lang w:val="zh-CN"/>
        </w:rPr>
      </w:pPr>
    </w:p>
    <w:p>
      <w:pPr>
        <w:spacing w:line="360" w:lineRule="auto"/>
        <w:rPr>
          <w:rFonts w:ascii="宋体" w:hAnsi="宋体" w:cs="宋体"/>
          <w:b/>
          <w:sz w:val="24"/>
          <w:lang w:val="zh-CN"/>
        </w:rPr>
      </w:pPr>
    </w:p>
    <w:p>
      <w:pPr>
        <w:pStyle w:val="7"/>
        <w:spacing w:line="360" w:lineRule="auto"/>
        <w:rPr>
          <w:rFonts w:ascii="宋体" w:hAnsi="宋体" w:cs="宋体"/>
          <w:b/>
          <w:sz w:val="24"/>
          <w:lang w:val="zh-CN"/>
        </w:rPr>
      </w:pPr>
    </w:p>
    <w:p>
      <w:pPr>
        <w:spacing w:line="360" w:lineRule="auto"/>
        <w:rPr>
          <w:rFonts w:ascii="宋体" w:hAnsi="宋体" w:cs="宋体"/>
          <w:b/>
          <w:sz w:val="24"/>
          <w:lang w:val="zh-CN"/>
        </w:rPr>
      </w:pPr>
    </w:p>
    <w:p>
      <w:pPr>
        <w:pStyle w:val="7"/>
        <w:spacing w:line="360" w:lineRule="auto"/>
        <w:jc w:val="left"/>
        <w:rPr>
          <w:rFonts w:ascii="宋体" w:hAnsi="宋体" w:cs="宋体"/>
          <w:b/>
          <w:bCs/>
          <w:sz w:val="24"/>
        </w:rPr>
      </w:pPr>
      <w:r>
        <w:rPr>
          <w:rFonts w:hint="eastAsia" w:ascii="宋体" w:hAnsi="宋体" w:cs="宋体"/>
          <w:b/>
          <w:bCs/>
          <w:sz w:val="24"/>
        </w:rPr>
        <w:t>2-2</w:t>
      </w:r>
    </w:p>
    <w:p>
      <w:pPr>
        <w:pStyle w:val="2"/>
        <w:tabs>
          <w:tab w:val="left" w:pos="540"/>
        </w:tabs>
        <w:spacing w:beforeAutospacing="0" w:afterAutospacing="0" w:line="360" w:lineRule="auto"/>
        <w:ind w:left="720" w:hanging="720"/>
        <w:jc w:val="center"/>
        <w:rPr>
          <w:bCs w:val="0"/>
          <w:sz w:val="24"/>
          <w:szCs w:val="24"/>
          <w:lang w:val="zh-CN"/>
        </w:rPr>
      </w:pPr>
    </w:p>
    <w:p>
      <w:pPr>
        <w:pStyle w:val="2"/>
        <w:tabs>
          <w:tab w:val="left" w:pos="540"/>
        </w:tabs>
        <w:spacing w:beforeAutospacing="0" w:afterAutospacing="0" w:line="360" w:lineRule="auto"/>
        <w:ind w:left="720" w:hanging="720"/>
        <w:jc w:val="center"/>
        <w:rPr>
          <w:bCs w:val="0"/>
          <w:sz w:val="24"/>
          <w:szCs w:val="24"/>
          <w:lang w:val="zh-CN"/>
        </w:rPr>
      </w:pPr>
      <w:r>
        <w:rPr>
          <w:rFonts w:hint="eastAsia"/>
          <w:bCs w:val="0"/>
          <w:sz w:val="24"/>
          <w:szCs w:val="24"/>
          <w:lang w:val="zh-CN"/>
        </w:rPr>
        <w:t>法定代表人身份授权书</w:t>
      </w:r>
    </w:p>
    <w:p>
      <w:pPr>
        <w:spacing w:line="360" w:lineRule="auto"/>
        <w:rPr>
          <w:rFonts w:ascii="宋体" w:hAnsi="宋体" w:cs="宋体"/>
          <w:sz w:val="24"/>
          <w:lang w:val="zh-CN"/>
        </w:rPr>
      </w:pPr>
    </w:p>
    <w:p>
      <w:pPr>
        <w:tabs>
          <w:tab w:val="left" w:pos="6300"/>
        </w:tabs>
        <w:spacing w:line="360" w:lineRule="auto"/>
        <w:rPr>
          <w:rFonts w:ascii="宋体" w:hAnsi="宋体" w:cs="宋体"/>
          <w:sz w:val="24"/>
          <w:lang w:val="zh-CN"/>
        </w:rPr>
      </w:pPr>
      <w:r>
        <w:rPr>
          <w:rFonts w:hint="eastAsia" w:ascii="宋体" w:hAnsi="宋体" w:cs="宋体"/>
          <w:sz w:val="24"/>
          <w:u w:val="single"/>
        </w:rPr>
        <w:t xml:space="preserve">四川省妇幼保健院 </w:t>
      </w:r>
      <w:r>
        <w:rPr>
          <w:rFonts w:hint="eastAsia" w:ascii="宋体" w:hAnsi="宋体" w:cs="宋体"/>
          <w:sz w:val="24"/>
          <w:lang w:val="zh-CN"/>
        </w:rPr>
        <w:t>：</w:t>
      </w:r>
    </w:p>
    <w:p>
      <w:pPr>
        <w:tabs>
          <w:tab w:val="left" w:pos="720"/>
          <w:tab w:val="left" w:pos="6300"/>
        </w:tabs>
        <w:spacing w:line="360" w:lineRule="auto"/>
        <w:ind w:firstLine="573"/>
        <w:rPr>
          <w:rFonts w:ascii="宋体" w:hAnsi="宋体" w:cs="宋体"/>
          <w:sz w:val="24"/>
          <w:u w:val="single"/>
          <w:lang w:val="zh-CN"/>
        </w:rPr>
      </w:pPr>
      <w:r>
        <w:rPr>
          <w:rFonts w:hint="eastAsia" w:ascii="宋体" w:hAnsi="宋体" w:cs="宋体"/>
          <w:sz w:val="24"/>
          <w:lang w:val="zh-CN"/>
        </w:rPr>
        <w:t xml:space="preserve">   本授权声明：</w:t>
      </w:r>
      <w:r>
        <w:rPr>
          <w:rFonts w:hint="eastAsia" w:ascii="宋体" w:hAnsi="宋体" w:cs="宋体"/>
          <w:sz w:val="24"/>
          <w:u w:val="single"/>
          <w:lang w:val="zh-CN"/>
        </w:rPr>
        <w:t xml:space="preserve">                         </w:t>
      </w:r>
      <w:r>
        <w:rPr>
          <w:rFonts w:hint="eastAsia" w:ascii="宋体" w:hAnsi="宋体" w:cs="宋体"/>
          <w:sz w:val="24"/>
          <w:lang w:val="zh-CN"/>
        </w:rPr>
        <w:t>（投标人名称）</w:t>
      </w:r>
      <w:r>
        <w:rPr>
          <w:rFonts w:hint="eastAsia" w:ascii="宋体" w:hAnsi="宋体" w:cs="宋体"/>
          <w:sz w:val="24"/>
          <w:u w:val="single"/>
          <w:lang w:val="zh-CN"/>
        </w:rPr>
        <w:t xml:space="preserve">           </w:t>
      </w:r>
    </w:p>
    <w:p>
      <w:pPr>
        <w:tabs>
          <w:tab w:val="left" w:pos="720"/>
          <w:tab w:val="left" w:pos="6300"/>
        </w:tabs>
        <w:spacing w:line="360" w:lineRule="auto"/>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（法定代表人姓名、职务）授权</w:t>
      </w:r>
      <w:r>
        <w:rPr>
          <w:rFonts w:hint="eastAsia" w:ascii="宋体" w:hAnsi="宋体" w:cs="宋体"/>
          <w:sz w:val="24"/>
          <w:u w:val="single"/>
          <w:lang w:val="zh-CN"/>
        </w:rPr>
        <w:t xml:space="preserve">                          </w:t>
      </w:r>
      <w:r>
        <w:rPr>
          <w:rFonts w:hint="eastAsia" w:ascii="宋体" w:hAnsi="宋体" w:cs="宋体"/>
          <w:sz w:val="24"/>
          <w:lang w:val="zh-CN"/>
        </w:rPr>
        <w:t>（被授权人姓名、职务）为我方</w:t>
      </w:r>
      <w:r>
        <w:rPr>
          <w:rFonts w:hint="eastAsia" w:ascii="宋体" w:hAnsi="宋体" w:cs="宋体"/>
          <w:sz w:val="24"/>
          <w:u w:val="single"/>
          <w:lang w:val="zh-CN"/>
        </w:rPr>
        <w:t xml:space="preserve"> “                                          ”</w:t>
      </w:r>
      <w:r>
        <w:rPr>
          <w:rFonts w:hint="eastAsia" w:ascii="宋体" w:hAnsi="宋体" w:cs="宋体"/>
          <w:sz w:val="24"/>
          <w:lang w:val="zh-CN"/>
        </w:rPr>
        <w:t>项目投标活动的合法代表，以我方名义全权处理该项目有关投标、签订合同以及执行合同等一切事宜。</w:t>
      </w:r>
    </w:p>
    <w:p>
      <w:pPr>
        <w:tabs>
          <w:tab w:val="left" w:pos="6300"/>
        </w:tabs>
        <w:spacing w:line="360" w:lineRule="auto"/>
        <w:ind w:firstLine="573"/>
        <w:rPr>
          <w:rFonts w:ascii="宋体" w:hAnsi="宋体" w:cs="宋体"/>
          <w:sz w:val="24"/>
        </w:rPr>
      </w:pPr>
      <w:r>
        <w:rPr>
          <w:rFonts w:hint="eastAsia" w:ascii="宋体" w:hAnsi="宋体" w:cs="宋体"/>
          <w:sz w:val="24"/>
        </w:rPr>
        <w:t>特此声明。</w:t>
      </w:r>
    </w:p>
    <w:p>
      <w:pPr>
        <w:tabs>
          <w:tab w:val="left" w:pos="6300"/>
        </w:tabs>
        <w:spacing w:line="360" w:lineRule="auto"/>
        <w:ind w:firstLine="573"/>
        <w:rPr>
          <w:rFonts w:ascii="宋体" w:hAnsi="宋体" w:cs="宋体"/>
          <w:sz w:val="24"/>
        </w:rPr>
      </w:pPr>
      <w:r>
        <w:rPr>
          <w:rFonts w:hint="eastAsia" w:ascii="宋体" w:hAnsi="宋体" w:cs="宋体"/>
          <w:sz w:val="24"/>
        </w:rPr>
        <w:t>法定代表人签字或盖章：</w:t>
      </w:r>
    </w:p>
    <w:p>
      <w:pPr>
        <w:tabs>
          <w:tab w:val="left" w:pos="6300"/>
        </w:tabs>
        <w:spacing w:line="360" w:lineRule="auto"/>
        <w:ind w:firstLine="573"/>
        <w:rPr>
          <w:rFonts w:ascii="宋体" w:hAnsi="宋体" w:cs="宋体"/>
          <w:sz w:val="24"/>
        </w:rPr>
      </w:pPr>
      <w:r>
        <w:rPr>
          <w:rFonts w:hint="eastAsia" w:ascii="宋体" w:hAnsi="宋体" w:cs="宋体"/>
          <w:sz w:val="24"/>
        </w:rPr>
        <w:t>授权代表人签字或盖章：</w:t>
      </w:r>
    </w:p>
    <w:p>
      <w:pPr>
        <w:spacing w:line="360" w:lineRule="auto"/>
        <w:ind w:firstLine="480"/>
        <w:rPr>
          <w:rFonts w:ascii="宋体" w:hAnsi="宋体" w:cs="宋体"/>
          <w:sz w:val="24"/>
        </w:rPr>
      </w:pPr>
      <w:r>
        <w:rPr>
          <w:rFonts w:hint="eastAsia" w:ascii="宋体" w:hAnsi="宋体" w:cs="宋体"/>
          <w:sz w:val="24"/>
        </w:rPr>
        <w:t>投标供应商名称：</w:t>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rPr>
        <w:t xml:space="preserve">      （加盖公章）</w:t>
      </w:r>
    </w:p>
    <w:p>
      <w:pPr>
        <w:spacing w:line="360" w:lineRule="auto"/>
        <w:ind w:firstLine="480"/>
        <w:rPr>
          <w:rFonts w:ascii="宋体" w:hAnsi="宋体" w:cs="宋体"/>
          <w:sz w:val="24"/>
        </w:rPr>
      </w:pPr>
      <w:r>
        <w:rPr>
          <w:rFonts w:hint="eastAsia" w:ascii="宋体" w:hAnsi="宋体" w:cs="宋体"/>
          <w:sz w:val="24"/>
        </w:rPr>
        <w:t>日期：</w:t>
      </w:r>
    </w:p>
    <w:p>
      <w:pPr>
        <w:numPr>
          <w:ilvl w:val="0"/>
          <w:numId w:val="3"/>
        </w:numPr>
        <w:tabs>
          <w:tab w:val="left" w:pos="6300"/>
        </w:tabs>
        <w:spacing w:line="360" w:lineRule="auto"/>
        <w:rPr>
          <w:rFonts w:ascii="宋体" w:hAnsi="宋体" w:cs="宋体"/>
          <w:sz w:val="24"/>
        </w:rPr>
      </w:pPr>
      <w:r>
        <w:rPr>
          <w:rFonts w:hint="eastAsia" w:ascii="宋体" w:hAnsi="宋体" w:cs="宋体"/>
          <w:sz w:val="24"/>
        </w:rPr>
        <w:t>说明：上述证明文件须附法定代表人、被授权代表身份证复印件（加盖公章）时才能生效。</w:t>
      </w:r>
    </w:p>
    <w:p>
      <w:pPr>
        <w:widowControl/>
        <w:spacing w:line="360" w:lineRule="auto"/>
        <w:ind w:firstLine="640"/>
        <w:jc w:val="left"/>
        <w:rPr>
          <w:rFonts w:ascii="宋体" w:hAnsi="宋体" w:cs="宋体"/>
          <w:kern w:val="0"/>
          <w:sz w:val="24"/>
        </w:rPr>
      </w:pPr>
    </w:p>
    <w:p>
      <w:pPr>
        <w:widowControl/>
        <w:spacing w:line="360" w:lineRule="auto"/>
        <w:ind w:firstLine="640"/>
        <w:jc w:val="left"/>
        <w:rPr>
          <w:rFonts w:ascii="宋体" w:hAnsi="宋体" w:cs="宋体"/>
          <w:kern w:val="0"/>
          <w:sz w:val="24"/>
        </w:rPr>
      </w:pPr>
    </w:p>
    <w:p>
      <w:pPr>
        <w:pStyle w:val="6"/>
        <w:spacing w:line="360" w:lineRule="auto"/>
        <w:rPr>
          <w:rFonts w:hAnsi="宋体" w:eastAsia="宋体" w:cs="宋体"/>
          <w:kern w:val="0"/>
          <w:sz w:val="24"/>
          <w:szCs w:val="24"/>
        </w:rPr>
      </w:pPr>
    </w:p>
    <w:p>
      <w:pPr>
        <w:pStyle w:val="6"/>
        <w:spacing w:line="360" w:lineRule="auto"/>
        <w:rPr>
          <w:rFonts w:hAnsi="宋体" w:eastAsia="宋体" w:cs="宋体"/>
          <w:kern w:val="0"/>
          <w:sz w:val="24"/>
          <w:szCs w:val="24"/>
        </w:rPr>
      </w:pPr>
    </w:p>
    <w:p>
      <w:pPr>
        <w:pStyle w:val="6"/>
        <w:spacing w:line="360" w:lineRule="auto"/>
        <w:rPr>
          <w:rFonts w:hAnsi="宋体" w:eastAsia="宋体" w:cs="宋体"/>
          <w:kern w:val="0"/>
          <w:sz w:val="24"/>
          <w:szCs w:val="24"/>
        </w:rPr>
      </w:pPr>
    </w:p>
    <w:p>
      <w:pPr>
        <w:pStyle w:val="3"/>
        <w:spacing w:line="360" w:lineRule="auto"/>
        <w:rPr>
          <w:rFonts w:ascii="宋体" w:hAnsi="宋体" w:cs="宋体"/>
          <w:b/>
          <w:bCs/>
          <w:sz w:val="24"/>
        </w:rPr>
      </w:pPr>
    </w:p>
    <w:p>
      <w:pPr>
        <w:spacing w:line="360" w:lineRule="auto"/>
        <w:rPr>
          <w:rFonts w:ascii="宋体" w:hAnsi="宋体" w:cs="宋体"/>
          <w:b/>
          <w:bCs/>
          <w:sz w:val="24"/>
        </w:rPr>
      </w:pPr>
    </w:p>
    <w:p>
      <w:pPr>
        <w:pStyle w:val="3"/>
        <w:spacing w:line="360" w:lineRule="auto"/>
        <w:jc w:val="center"/>
        <w:rPr>
          <w:rFonts w:ascii="宋体" w:hAnsi="宋体" w:cs="宋体"/>
          <w:b/>
          <w:bCs/>
          <w:sz w:val="24"/>
        </w:rPr>
      </w:pPr>
    </w:p>
    <w:p>
      <w:pPr>
        <w:pStyle w:val="3"/>
        <w:spacing w:line="360" w:lineRule="auto"/>
        <w:jc w:val="center"/>
        <w:rPr>
          <w:rFonts w:ascii="宋体" w:hAnsi="宋体" w:cs="宋体"/>
          <w:b/>
          <w:bCs/>
          <w:sz w:val="24"/>
        </w:rPr>
      </w:pPr>
    </w:p>
    <w:p>
      <w:pPr>
        <w:pStyle w:val="3"/>
        <w:spacing w:line="360" w:lineRule="auto"/>
        <w:jc w:val="center"/>
        <w:rPr>
          <w:rFonts w:ascii="宋体" w:hAnsi="宋体" w:cs="宋体"/>
          <w:b/>
          <w:bCs/>
          <w:sz w:val="24"/>
        </w:rPr>
      </w:pPr>
    </w:p>
    <w:p>
      <w:pPr>
        <w:pStyle w:val="3"/>
        <w:spacing w:line="360" w:lineRule="auto"/>
        <w:jc w:val="center"/>
        <w:rPr>
          <w:rFonts w:ascii="宋体" w:hAnsi="宋体" w:cs="宋体"/>
          <w:b/>
          <w:bCs/>
          <w:sz w:val="24"/>
        </w:rPr>
      </w:pPr>
    </w:p>
    <w:p>
      <w:pPr>
        <w:pStyle w:val="3"/>
        <w:spacing w:line="360" w:lineRule="auto"/>
        <w:jc w:val="center"/>
        <w:rPr>
          <w:rFonts w:ascii="宋体" w:hAnsi="宋体" w:cs="宋体"/>
          <w:b/>
          <w:bCs/>
          <w:sz w:val="24"/>
        </w:rPr>
      </w:pPr>
    </w:p>
    <w:p>
      <w:pPr>
        <w:pStyle w:val="3"/>
        <w:spacing w:line="360" w:lineRule="auto"/>
        <w:jc w:val="center"/>
        <w:rPr>
          <w:rFonts w:ascii="宋体" w:hAnsi="宋体" w:cs="宋体"/>
          <w:b/>
          <w:bCs/>
          <w:sz w:val="24"/>
        </w:rPr>
      </w:pPr>
    </w:p>
    <w:p>
      <w:pPr>
        <w:pStyle w:val="3"/>
        <w:spacing w:line="360" w:lineRule="auto"/>
        <w:jc w:val="center"/>
        <w:rPr>
          <w:rFonts w:ascii="宋体" w:hAnsi="宋体" w:cs="宋体"/>
          <w:b/>
          <w:bCs/>
          <w:sz w:val="24"/>
        </w:rPr>
      </w:pPr>
    </w:p>
    <w:p>
      <w:pPr>
        <w:pStyle w:val="3"/>
        <w:spacing w:line="360" w:lineRule="auto"/>
        <w:jc w:val="left"/>
        <w:rPr>
          <w:rFonts w:ascii="宋体" w:hAnsi="宋体" w:cs="宋体"/>
          <w:b/>
          <w:bCs/>
          <w:sz w:val="24"/>
        </w:rPr>
      </w:pPr>
      <w:r>
        <w:rPr>
          <w:rFonts w:hint="eastAsia" w:ascii="宋体" w:hAnsi="宋体" w:cs="宋体"/>
          <w:b/>
          <w:bCs/>
          <w:sz w:val="24"/>
        </w:rPr>
        <w:t>2-3</w:t>
      </w:r>
    </w:p>
    <w:p>
      <w:pPr>
        <w:pStyle w:val="3"/>
        <w:spacing w:line="360" w:lineRule="auto"/>
        <w:jc w:val="center"/>
        <w:rPr>
          <w:rFonts w:ascii="宋体" w:hAnsi="宋体" w:cs="宋体"/>
          <w:b/>
          <w:bCs/>
          <w:sz w:val="24"/>
        </w:rPr>
      </w:pPr>
    </w:p>
    <w:p>
      <w:pPr>
        <w:pStyle w:val="3"/>
        <w:spacing w:line="360" w:lineRule="auto"/>
        <w:jc w:val="center"/>
        <w:rPr>
          <w:rFonts w:ascii="宋体" w:hAnsi="宋体" w:cs="宋体"/>
          <w:b/>
          <w:bCs/>
          <w:sz w:val="24"/>
        </w:rPr>
      </w:pPr>
    </w:p>
    <w:p>
      <w:pPr>
        <w:pStyle w:val="3"/>
        <w:spacing w:line="360" w:lineRule="auto"/>
        <w:jc w:val="center"/>
        <w:rPr>
          <w:rFonts w:ascii="宋体" w:hAnsi="宋体" w:cs="宋体"/>
          <w:sz w:val="24"/>
        </w:rPr>
      </w:pPr>
      <w:r>
        <w:rPr>
          <w:rFonts w:hint="eastAsia" w:ascii="宋体" w:hAnsi="宋体" w:cs="宋体"/>
          <w:b/>
          <w:bCs/>
          <w:sz w:val="24"/>
        </w:rPr>
        <w:t>无围标、串标行为承诺书</w:t>
      </w:r>
    </w:p>
    <w:p>
      <w:pPr>
        <w:spacing w:line="360" w:lineRule="auto"/>
        <w:ind w:firstLine="640"/>
        <w:rPr>
          <w:rFonts w:ascii="宋体" w:hAnsi="宋体" w:cs="宋体"/>
          <w:sz w:val="24"/>
        </w:rPr>
      </w:pPr>
      <w:r>
        <w:rPr>
          <w:rFonts w:hint="eastAsia" w:ascii="宋体" w:hAnsi="宋体" w:cs="宋体"/>
          <w:sz w:val="24"/>
        </w:rPr>
        <w:t>本公司郑重承诺：我公司自觉遵守《中华人民共和国政府采购法》和《中华人民共和国政府采购法实施条例》的有关规定，我公司在参加本次项目（项目名称：XXXXXXX）采购活动中，无以下围标、串标行为：</w:t>
      </w:r>
    </w:p>
    <w:p>
      <w:pPr>
        <w:pStyle w:val="3"/>
        <w:spacing w:line="360" w:lineRule="auto"/>
        <w:ind w:firstLine="480" w:firstLineChars="200"/>
        <w:rPr>
          <w:rFonts w:ascii="宋体" w:hAnsi="宋体" w:cs="宋体"/>
          <w:sz w:val="24"/>
        </w:rPr>
      </w:pPr>
      <w:r>
        <w:rPr>
          <w:rFonts w:hint="eastAsia" w:ascii="宋体" w:hAnsi="宋体" w:cs="宋体"/>
          <w:sz w:val="24"/>
        </w:rPr>
        <w:t>1.不同供应商的投标文件由同一单位或者个人编制；</w:t>
      </w:r>
    </w:p>
    <w:p>
      <w:pPr>
        <w:spacing w:line="360" w:lineRule="auto"/>
        <w:ind w:firstLine="640"/>
        <w:rPr>
          <w:rFonts w:ascii="宋体" w:hAnsi="宋体" w:cs="宋体"/>
          <w:sz w:val="24"/>
        </w:rPr>
      </w:pPr>
      <w:r>
        <w:rPr>
          <w:rFonts w:hint="eastAsia" w:ascii="宋体" w:hAnsi="宋体" w:cs="宋体"/>
          <w:sz w:val="24"/>
        </w:rPr>
        <w:t>2.不同供应商委托同一单位或者个人办理投标事宜；</w:t>
      </w:r>
    </w:p>
    <w:p>
      <w:pPr>
        <w:pStyle w:val="3"/>
        <w:spacing w:line="360" w:lineRule="auto"/>
        <w:ind w:firstLine="640"/>
        <w:rPr>
          <w:rFonts w:ascii="宋体" w:hAnsi="宋体" w:cs="宋体"/>
          <w:sz w:val="24"/>
        </w:rPr>
      </w:pPr>
      <w:r>
        <w:rPr>
          <w:rFonts w:hint="eastAsia" w:ascii="宋体" w:hAnsi="宋体" w:cs="宋体"/>
          <w:sz w:val="24"/>
        </w:rPr>
        <w:t>3.不同供应商的投标文件载明的项目管理成员或者联系人员为同一人；</w:t>
      </w:r>
    </w:p>
    <w:p>
      <w:pPr>
        <w:spacing w:line="360" w:lineRule="auto"/>
        <w:ind w:firstLine="480" w:firstLineChars="200"/>
        <w:rPr>
          <w:rFonts w:ascii="宋体" w:hAnsi="宋体" w:cs="宋体"/>
          <w:sz w:val="24"/>
        </w:rPr>
      </w:pPr>
      <w:r>
        <w:rPr>
          <w:rFonts w:hint="eastAsia" w:ascii="宋体" w:hAnsi="宋体" w:cs="宋体"/>
          <w:sz w:val="24"/>
        </w:rPr>
        <w:t>4.不同供应商的投标文件异常一致或者投标报价呈规律性差异；</w:t>
      </w:r>
    </w:p>
    <w:p>
      <w:pPr>
        <w:pStyle w:val="3"/>
        <w:spacing w:line="360" w:lineRule="auto"/>
        <w:ind w:firstLine="480" w:firstLineChars="200"/>
        <w:rPr>
          <w:rFonts w:ascii="宋体" w:hAnsi="宋体" w:cs="宋体"/>
          <w:sz w:val="24"/>
        </w:rPr>
      </w:pPr>
      <w:r>
        <w:rPr>
          <w:rFonts w:hint="eastAsia" w:ascii="宋体" w:hAnsi="宋体" w:cs="宋体"/>
          <w:sz w:val="24"/>
        </w:rPr>
        <w:t>5.不同供应商的投标文件相互混装；</w:t>
      </w:r>
    </w:p>
    <w:p>
      <w:pPr>
        <w:spacing w:line="360" w:lineRule="auto"/>
        <w:ind w:firstLine="480" w:firstLineChars="200"/>
        <w:rPr>
          <w:rFonts w:ascii="宋体" w:hAnsi="宋体" w:cs="宋体"/>
          <w:sz w:val="24"/>
        </w:rPr>
      </w:pPr>
      <w:r>
        <w:rPr>
          <w:rFonts w:hint="eastAsia" w:ascii="宋体" w:hAnsi="宋体" w:cs="宋体"/>
          <w:sz w:val="24"/>
        </w:rPr>
        <w:t>6.不同供应商的投标保证金从同一单位或者个人的账户转出；</w:t>
      </w:r>
    </w:p>
    <w:p>
      <w:pPr>
        <w:spacing w:line="360" w:lineRule="auto"/>
        <w:ind w:firstLine="480" w:firstLineChars="200"/>
        <w:rPr>
          <w:rFonts w:ascii="宋体" w:hAnsi="宋体" w:cs="宋体"/>
          <w:sz w:val="24"/>
        </w:rPr>
      </w:pPr>
      <w:r>
        <w:rPr>
          <w:rFonts w:hint="eastAsia" w:ascii="宋体" w:hAnsi="宋体" w:cs="宋体"/>
          <w:sz w:val="24"/>
        </w:rPr>
        <w:t>7.不同供应商的董事、监事、高管、单位负责人为同一人或者存在控股、管理关系的不同单位参加同一采购项目；</w:t>
      </w:r>
    </w:p>
    <w:p>
      <w:pPr>
        <w:pStyle w:val="3"/>
        <w:spacing w:line="360" w:lineRule="auto"/>
        <w:ind w:firstLine="480" w:firstLineChars="200"/>
        <w:rPr>
          <w:rFonts w:ascii="宋体" w:hAnsi="宋体" w:cs="宋体"/>
          <w:sz w:val="24"/>
        </w:rPr>
      </w:pPr>
      <w:r>
        <w:rPr>
          <w:rFonts w:hint="eastAsia" w:ascii="宋体" w:hAnsi="宋体" w:cs="宋体"/>
          <w:sz w:val="24"/>
        </w:rPr>
        <w:t>8.供应商之间事先约定由某一特定供应商中标、成交；</w:t>
      </w:r>
    </w:p>
    <w:p>
      <w:pPr>
        <w:spacing w:line="360" w:lineRule="auto"/>
        <w:ind w:firstLine="480" w:firstLineChars="200"/>
        <w:rPr>
          <w:rFonts w:ascii="宋体" w:hAnsi="宋体" w:cs="宋体"/>
          <w:sz w:val="24"/>
        </w:rPr>
      </w:pPr>
      <w:r>
        <w:rPr>
          <w:rFonts w:hint="eastAsia" w:ascii="宋体" w:hAnsi="宋体" w:cs="宋体"/>
          <w:sz w:val="24"/>
        </w:rPr>
        <w:t>9.供应商之间商定部分供应商放弃参加采购活动或者放弃中标、成交；</w:t>
      </w:r>
    </w:p>
    <w:p>
      <w:pPr>
        <w:pStyle w:val="3"/>
        <w:spacing w:line="360" w:lineRule="auto"/>
        <w:rPr>
          <w:rFonts w:ascii="宋体" w:hAnsi="宋体" w:cs="宋体"/>
          <w:sz w:val="24"/>
        </w:rPr>
      </w:pPr>
      <w:r>
        <w:rPr>
          <w:rFonts w:hint="eastAsia" w:ascii="宋体" w:hAnsi="宋体" w:cs="宋体"/>
          <w:sz w:val="24"/>
        </w:rPr>
        <w:t xml:space="preserve">    10.法律法规界定的其他围标串标行为。</w:t>
      </w:r>
    </w:p>
    <w:p>
      <w:pPr>
        <w:spacing w:line="360" w:lineRule="auto"/>
        <w:ind w:firstLine="480" w:firstLineChars="200"/>
        <w:rPr>
          <w:rFonts w:ascii="宋体" w:hAnsi="宋体" w:cs="宋体"/>
          <w:sz w:val="24"/>
        </w:rPr>
      </w:pPr>
      <w:r>
        <w:rPr>
          <w:rFonts w:hint="eastAsia" w:ascii="宋体" w:hAnsi="宋体" w:cs="宋体"/>
          <w:sz w:val="24"/>
        </w:rPr>
        <w:t>我公司承诺在本项目采购活动中，与采购人不存在关联关系，与其他投标单位不存在关联关系。如被查实在本项目采购活动中存在围标、串标的，本公司将承担法律责任，接受相应的法律法规处罚。</w:t>
      </w:r>
    </w:p>
    <w:p>
      <w:pPr>
        <w:pStyle w:val="3"/>
        <w:spacing w:line="360" w:lineRule="auto"/>
        <w:rPr>
          <w:rFonts w:ascii="宋体" w:hAnsi="宋体" w:cs="宋体"/>
          <w:sz w:val="24"/>
        </w:rPr>
      </w:pPr>
    </w:p>
    <w:p>
      <w:pPr>
        <w:pStyle w:val="3"/>
        <w:spacing w:line="360" w:lineRule="auto"/>
        <w:ind w:firstLine="480" w:firstLineChars="200"/>
        <w:rPr>
          <w:rFonts w:ascii="宋体" w:hAnsi="宋体" w:cs="宋体"/>
          <w:sz w:val="24"/>
        </w:rPr>
      </w:pPr>
      <w:r>
        <w:rPr>
          <w:rFonts w:hint="eastAsia" w:ascii="宋体" w:hAnsi="宋体" w:cs="宋体"/>
          <w:sz w:val="24"/>
        </w:rPr>
        <w:t>投标供应商法人代表或委托代理人（承诺人） ：</w:t>
      </w:r>
    </w:p>
    <w:p>
      <w:pPr>
        <w:pStyle w:val="3"/>
        <w:spacing w:line="360" w:lineRule="auto"/>
        <w:ind w:firstLine="480" w:firstLineChars="200"/>
        <w:rPr>
          <w:rFonts w:ascii="宋体" w:hAnsi="宋体" w:cs="宋体"/>
          <w:sz w:val="24"/>
        </w:rPr>
      </w:pPr>
      <w:r>
        <w:rPr>
          <w:rFonts w:hint="eastAsia" w:ascii="宋体" w:hAnsi="宋体" w:cs="宋体"/>
          <w:sz w:val="24"/>
        </w:rPr>
        <w:t xml:space="preserve">投标供应商：（公章）  </w:t>
      </w:r>
    </w:p>
    <w:p>
      <w:pPr>
        <w:pStyle w:val="3"/>
        <w:spacing w:line="360" w:lineRule="auto"/>
        <w:ind w:firstLine="480" w:firstLineChars="200"/>
        <w:rPr>
          <w:rFonts w:ascii="宋体" w:hAnsi="宋体" w:cs="宋体"/>
          <w:sz w:val="24"/>
        </w:rPr>
      </w:pPr>
      <w:r>
        <w:rPr>
          <w:rFonts w:hint="eastAsia" w:ascii="宋体" w:hAnsi="宋体" w:cs="宋体"/>
          <w:sz w:val="24"/>
        </w:rPr>
        <w:t>日期：   年    月    日</w:t>
      </w:r>
    </w:p>
    <w:p>
      <w:pPr>
        <w:spacing w:line="360" w:lineRule="auto"/>
        <w:rPr>
          <w:rFonts w:ascii="宋体" w:hAnsi="宋体" w:cs="宋体"/>
          <w:b/>
          <w:bCs/>
          <w:sz w:val="24"/>
        </w:rPr>
      </w:pPr>
    </w:p>
    <w:p>
      <w:pPr>
        <w:spacing w:line="360" w:lineRule="auto"/>
        <w:rPr>
          <w:rFonts w:ascii="宋体" w:hAnsi="宋体" w:cs="宋体"/>
          <w:b/>
          <w:bCs/>
          <w:sz w:val="24"/>
        </w:rPr>
      </w:pPr>
    </w:p>
    <w:p>
      <w:pPr>
        <w:spacing w:line="360" w:lineRule="auto"/>
        <w:rPr>
          <w:rFonts w:ascii="宋体" w:hAnsi="宋体" w:cs="宋体"/>
          <w:b/>
          <w:bCs/>
          <w:sz w:val="24"/>
        </w:rPr>
      </w:pPr>
    </w:p>
    <w:p>
      <w:pPr>
        <w:spacing w:line="360" w:lineRule="auto"/>
        <w:rPr>
          <w:rFonts w:ascii="宋体" w:hAnsi="宋体" w:cs="宋体"/>
          <w:b/>
          <w:bCs/>
          <w:sz w:val="24"/>
        </w:rPr>
      </w:pPr>
    </w:p>
    <w:p>
      <w:pPr>
        <w:spacing w:line="360" w:lineRule="auto"/>
        <w:rPr>
          <w:rFonts w:ascii="宋体" w:hAnsi="宋体" w:cs="宋体"/>
          <w:b/>
          <w:bCs/>
          <w:sz w:val="24"/>
        </w:rPr>
      </w:pPr>
    </w:p>
    <w:p>
      <w:pPr>
        <w:spacing w:line="360" w:lineRule="auto"/>
        <w:rPr>
          <w:rFonts w:ascii="宋体" w:hAnsi="宋体" w:cs="宋体"/>
          <w:b/>
          <w:bCs/>
          <w:sz w:val="24"/>
        </w:rPr>
      </w:pPr>
    </w:p>
    <w:p>
      <w:pPr>
        <w:spacing w:line="360" w:lineRule="auto"/>
        <w:rPr>
          <w:rFonts w:ascii="宋体" w:hAnsi="宋体" w:cs="宋体"/>
          <w:b/>
          <w:bCs/>
          <w:sz w:val="24"/>
        </w:rPr>
      </w:pPr>
      <w:r>
        <w:rPr>
          <w:rFonts w:hint="eastAsia" w:ascii="宋体" w:hAnsi="宋体" w:cs="宋体"/>
          <w:b/>
          <w:bCs/>
          <w:sz w:val="24"/>
        </w:rPr>
        <w:t>2-4</w:t>
      </w:r>
    </w:p>
    <w:p>
      <w:pPr>
        <w:pStyle w:val="9"/>
        <w:widowControl/>
        <w:spacing w:line="360" w:lineRule="auto"/>
        <w:rPr>
          <w:rFonts w:ascii="宋体" w:hAnsi="宋体" w:cs="宋体"/>
        </w:rPr>
      </w:pPr>
      <w:r>
        <w:rPr>
          <w:rFonts w:hint="eastAsia" w:ascii="宋体" w:hAnsi="宋体" w:cs="宋体"/>
          <w:b/>
        </w:rPr>
        <w:t>商务、技术、服务响应/偏离表 </w:t>
      </w:r>
    </w:p>
    <w:p>
      <w:pPr>
        <w:pStyle w:val="9"/>
        <w:widowControl/>
        <w:spacing w:after="120" w:afterAutospacing="0" w:line="360" w:lineRule="auto"/>
        <w:rPr>
          <w:rFonts w:ascii="宋体" w:hAnsi="宋体" w:cs="宋体"/>
          <w:b/>
          <w:u w:val="single"/>
        </w:rPr>
      </w:pPr>
      <w:r>
        <w:rPr>
          <w:rFonts w:hint="eastAsia" w:ascii="宋体" w:hAnsi="宋体" w:cs="宋体"/>
          <w:b/>
        </w:rPr>
        <w:t>供应商名称：</w:t>
      </w:r>
      <w:r>
        <w:rPr>
          <w:rFonts w:hint="eastAsia" w:ascii="宋体" w:hAnsi="宋体" w:cs="宋体"/>
          <w:b/>
          <w:u w:val="single"/>
        </w:rPr>
        <w:t>             </w:t>
      </w:r>
    </w:p>
    <w:p>
      <w:pPr>
        <w:pStyle w:val="9"/>
        <w:widowControl/>
        <w:spacing w:after="120" w:afterAutospacing="0" w:line="360" w:lineRule="auto"/>
        <w:rPr>
          <w:rFonts w:ascii="宋体" w:hAnsi="宋体" w:cs="宋体"/>
        </w:rPr>
      </w:pPr>
      <w:r>
        <w:rPr>
          <w:rFonts w:hint="eastAsia" w:ascii="宋体" w:hAnsi="宋体" w:cs="宋体"/>
          <w:b/>
        </w:rPr>
        <w:t>采购编号：</w:t>
      </w:r>
      <w:r>
        <w:rPr>
          <w:rFonts w:hint="eastAsia" w:ascii="宋体" w:hAnsi="宋体" w:cs="宋体"/>
          <w:b/>
          <w:u w:val="single"/>
        </w:rPr>
        <w:t>             </w:t>
      </w:r>
      <w:r>
        <w:rPr>
          <w:rFonts w:hint="eastAsia" w:ascii="宋体" w:hAnsi="宋体" w:cs="宋体"/>
          <w:b/>
        </w:rPr>
        <w:t> </w:t>
      </w:r>
    </w:p>
    <w:tbl>
      <w:tblPr>
        <w:tblStyle w:val="10"/>
        <w:tblW w:w="8565"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735"/>
        <w:gridCol w:w="1989"/>
        <w:gridCol w:w="1665"/>
        <w:gridCol w:w="2736"/>
        <w:gridCol w:w="144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cantSplit/>
          <w:trHeight w:val="645" w:hRule="atLeast"/>
        </w:trPr>
        <w:tc>
          <w:tcPr>
            <w:tcW w:w="735"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9"/>
              <w:widowControl/>
              <w:spacing w:before="60" w:beforeAutospacing="0" w:after="60" w:afterAutospacing="0" w:line="360" w:lineRule="auto"/>
              <w:jc w:val="center"/>
              <w:rPr>
                <w:rFonts w:ascii="宋体" w:hAnsi="宋体" w:cs="宋体"/>
              </w:rPr>
            </w:pPr>
            <w:r>
              <w:rPr>
                <w:rFonts w:hint="eastAsia" w:ascii="宋体" w:hAnsi="宋体" w:cs="宋体"/>
              </w:rPr>
              <w:t>序号</w:t>
            </w:r>
          </w:p>
        </w:tc>
        <w:tc>
          <w:tcPr>
            <w:tcW w:w="198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9"/>
              <w:widowControl/>
              <w:spacing w:before="60" w:beforeAutospacing="0" w:after="60" w:afterAutospacing="0" w:line="360" w:lineRule="auto"/>
              <w:jc w:val="center"/>
              <w:rPr>
                <w:rFonts w:ascii="宋体" w:hAnsi="宋体" w:cs="宋体"/>
              </w:rPr>
            </w:pPr>
            <w:r>
              <w:rPr>
                <w:rFonts w:hint="eastAsia" w:ascii="宋体" w:hAnsi="宋体" w:cs="宋体"/>
              </w:rPr>
              <w:t>采购文件条目号</w:t>
            </w:r>
          </w:p>
        </w:tc>
        <w:tc>
          <w:tcPr>
            <w:tcW w:w="1665"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9"/>
              <w:widowControl/>
              <w:spacing w:before="60" w:beforeAutospacing="0" w:after="60" w:afterAutospacing="0" w:line="360" w:lineRule="auto"/>
              <w:jc w:val="center"/>
              <w:rPr>
                <w:rFonts w:ascii="宋体" w:hAnsi="宋体" w:cs="宋体"/>
              </w:rPr>
            </w:pPr>
            <w:r>
              <w:rPr>
                <w:rFonts w:hint="eastAsia" w:ascii="宋体" w:hAnsi="宋体" w:cs="宋体"/>
              </w:rPr>
              <w:t>采购文件要求</w:t>
            </w:r>
          </w:p>
        </w:tc>
        <w:tc>
          <w:tcPr>
            <w:tcW w:w="2736"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9"/>
              <w:widowControl/>
              <w:spacing w:before="60" w:beforeAutospacing="0" w:after="60" w:afterAutospacing="0" w:line="360" w:lineRule="auto"/>
              <w:jc w:val="center"/>
              <w:rPr>
                <w:rFonts w:ascii="宋体" w:hAnsi="宋体" w:cs="宋体"/>
              </w:rPr>
            </w:pPr>
            <w:r>
              <w:rPr>
                <w:rFonts w:hint="eastAsia" w:ascii="宋体" w:hAnsi="宋体" w:cs="宋体"/>
              </w:rPr>
              <w:t>采购响应文件响应说明</w:t>
            </w:r>
          </w:p>
        </w:tc>
        <w:tc>
          <w:tcPr>
            <w:tcW w:w="144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9"/>
              <w:widowControl/>
              <w:spacing w:before="60" w:beforeAutospacing="0" w:after="60" w:afterAutospacing="0" w:line="360" w:lineRule="auto"/>
              <w:jc w:val="center"/>
              <w:rPr>
                <w:rFonts w:ascii="宋体" w:hAnsi="宋体" w:cs="宋体"/>
              </w:rPr>
            </w:pPr>
            <w:r>
              <w:rPr>
                <w:rFonts w:hint="eastAsia" w:ascii="宋体" w:hAnsi="宋体" w:cs="宋体"/>
              </w:rPr>
              <w:t>响应/偏离</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pPr>
              <w:pStyle w:val="9"/>
              <w:widowControl/>
              <w:spacing w:before="120" w:beforeAutospacing="0" w:after="120" w:afterAutospacing="0" w:line="360" w:lineRule="auto"/>
              <w:rPr>
                <w:rFonts w:ascii="宋体" w:hAnsi="宋体" w:cs="宋体"/>
              </w:rPr>
            </w:pPr>
            <w:r>
              <w:rPr>
                <w:rFonts w:hint="eastAsia" w:ascii="宋体" w:hAnsi="宋体" w:cs="宋体"/>
              </w:rPr>
              <w:t> </w:t>
            </w:r>
          </w:p>
        </w:tc>
      </w:tr>
    </w:tbl>
    <w:p>
      <w:pPr>
        <w:pStyle w:val="9"/>
        <w:widowControl/>
        <w:spacing w:line="360" w:lineRule="auto"/>
        <w:ind w:firstLine="420"/>
        <w:rPr>
          <w:rFonts w:ascii="宋体" w:hAnsi="宋体" w:cs="宋体"/>
        </w:rPr>
      </w:pPr>
      <w:r>
        <w:rPr>
          <w:rFonts w:hint="eastAsia" w:ascii="宋体" w:hAnsi="宋体" w:cs="宋体"/>
        </w:rPr>
        <w:t>供应商名称：         （盖章）</w:t>
      </w:r>
    </w:p>
    <w:p>
      <w:pPr>
        <w:pStyle w:val="9"/>
        <w:widowControl/>
        <w:spacing w:line="360" w:lineRule="auto"/>
        <w:ind w:firstLine="420"/>
        <w:rPr>
          <w:rFonts w:ascii="宋体" w:hAnsi="宋体" w:cs="宋体"/>
        </w:rPr>
      </w:pPr>
      <w:r>
        <w:rPr>
          <w:rFonts w:hint="eastAsia" w:ascii="宋体" w:hAnsi="宋体" w:cs="宋体"/>
        </w:rPr>
        <w:t>法定代表人/单位负责人或授权代表（签字或加盖个人名章）：</w:t>
      </w:r>
    </w:p>
    <w:p>
      <w:pPr>
        <w:pStyle w:val="9"/>
        <w:widowControl/>
        <w:spacing w:line="360" w:lineRule="auto"/>
        <w:ind w:firstLine="420"/>
        <w:rPr>
          <w:rFonts w:ascii="宋体" w:hAnsi="宋体" w:cs="宋体"/>
        </w:rPr>
      </w:pPr>
      <w:r>
        <w:rPr>
          <w:rFonts w:hint="eastAsia" w:ascii="宋体" w:hAnsi="宋体" w:cs="宋体"/>
        </w:rPr>
        <w:t>日期:</w:t>
      </w:r>
    </w:p>
    <w:p>
      <w:pPr>
        <w:pStyle w:val="9"/>
        <w:widowControl/>
        <w:spacing w:line="360" w:lineRule="auto"/>
        <w:ind w:firstLine="420"/>
        <w:rPr>
          <w:rFonts w:ascii="宋体" w:hAnsi="宋体" w:cs="宋体"/>
        </w:rPr>
      </w:pPr>
      <w:r>
        <w:rPr>
          <w:rFonts w:hint="eastAsia" w:ascii="宋体" w:hAnsi="宋体" w:cs="宋体"/>
        </w:rPr>
        <w:t>注：</w:t>
      </w:r>
    </w:p>
    <w:p>
      <w:pPr>
        <w:pStyle w:val="9"/>
        <w:widowControl/>
        <w:spacing w:line="360" w:lineRule="auto"/>
        <w:ind w:firstLine="480"/>
        <w:rPr>
          <w:rFonts w:ascii="宋体" w:hAnsi="宋体" w:cs="宋体"/>
        </w:rPr>
      </w:pPr>
      <w:r>
        <w:rPr>
          <w:rFonts w:hint="eastAsia" w:ascii="宋体" w:hAnsi="宋体" w:cs="宋体"/>
        </w:rPr>
        <w:t>供应商必须据实填写，不得虚假应答，否则将取消其报价或成交资格。如与磋商文件所列技术相关条款无偏离（包括正偏离和负偏离），则无须逐条应答。如有偏离条款，请将偏离条款逐条应答。未明确偏离的条款，视为默认接受，供应商不得籍未作应答而拒不接受。</w:t>
      </w:r>
    </w:p>
    <w:p>
      <w:pPr>
        <w:pStyle w:val="9"/>
        <w:widowControl/>
        <w:spacing w:line="360" w:lineRule="auto"/>
        <w:ind w:firstLine="480"/>
        <w:rPr>
          <w:rFonts w:ascii="宋体" w:hAnsi="宋体" w:cs="宋体"/>
        </w:rPr>
      </w:pPr>
      <w:r>
        <w:rPr>
          <w:rFonts w:hint="eastAsia" w:ascii="宋体" w:hAnsi="宋体" w:cs="宋体"/>
        </w:rPr>
        <w:t>若磋商文件中有要求提供证明材料的技术条款应当在此表中列出并应答。</w:t>
      </w: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ascii="宋体" w:hAnsi="宋体" w:cs="宋体"/>
          <w:b/>
          <w:bCs/>
          <w:sz w:val="24"/>
        </w:rPr>
      </w:pPr>
      <w:bookmarkStart w:id="24" w:name="_GoBack"/>
      <w:bookmarkEnd w:id="24"/>
      <w:r>
        <w:rPr>
          <w:rFonts w:hint="eastAsia" w:ascii="宋体" w:hAnsi="宋体" w:cs="宋体"/>
          <w:b/>
          <w:bCs/>
          <w:sz w:val="24"/>
        </w:rPr>
        <w:t>2-5</w:t>
      </w:r>
    </w:p>
    <w:p>
      <w:pPr>
        <w:pStyle w:val="6"/>
        <w:spacing w:line="360" w:lineRule="auto"/>
        <w:ind w:firstLine="0"/>
        <w:rPr>
          <w:rFonts w:hAnsi="宋体" w:eastAsia="宋体" w:cs="宋体"/>
          <w:b/>
          <w:bCs/>
          <w:sz w:val="24"/>
          <w:szCs w:val="24"/>
        </w:rPr>
      </w:pPr>
    </w:p>
    <w:p>
      <w:pPr>
        <w:pStyle w:val="13"/>
        <w:snapToGrid w:val="0"/>
        <w:spacing w:before="312" w:beforeLines="100" w:after="312" w:afterLines="100"/>
        <w:ind w:firstLine="0" w:firstLineChars="0"/>
        <w:jc w:val="center"/>
        <w:rPr>
          <w:rFonts w:ascii="宋体" w:hAnsi="宋体" w:eastAsia="宋体" w:cs="宋体"/>
        </w:rPr>
      </w:pPr>
      <w:r>
        <w:rPr>
          <w:rFonts w:hint="eastAsia" w:ascii="宋体" w:hAnsi="宋体" w:eastAsia="宋体" w:cs="宋体"/>
          <w:shd w:val="clear" w:color="auto" w:fill="FFFFFF"/>
        </w:rPr>
        <w:t>良好的商业信誉和健全的财务会计制度的承诺函</w:t>
      </w:r>
    </w:p>
    <w:p>
      <w:pPr>
        <w:snapToGrid w:val="0"/>
        <w:spacing w:line="360" w:lineRule="auto"/>
        <w:rPr>
          <w:rFonts w:ascii="宋体" w:hAnsi="宋体" w:cs="宋体"/>
          <w:sz w:val="24"/>
        </w:rPr>
      </w:pPr>
      <w:r>
        <w:rPr>
          <w:rFonts w:hint="eastAsia" w:ascii="宋体" w:hAnsi="宋体" w:cs="宋体"/>
          <w:sz w:val="24"/>
        </w:rPr>
        <w:t>四川省妇幼保健院：</w:t>
      </w:r>
    </w:p>
    <w:p>
      <w:pPr>
        <w:snapToGrid w:val="0"/>
        <w:spacing w:after="156" w:afterLines="50" w:line="360" w:lineRule="auto"/>
        <w:ind w:firstLine="480" w:firstLineChars="200"/>
        <w:rPr>
          <w:rFonts w:ascii="宋体" w:hAnsi="宋体" w:cs="宋体"/>
          <w:sz w:val="24"/>
        </w:rPr>
      </w:pPr>
      <w:r>
        <w:rPr>
          <w:rFonts w:hint="eastAsia" w:ascii="宋体" w:hAnsi="宋体" w:cs="宋体"/>
          <w:sz w:val="24"/>
        </w:rPr>
        <w:t>本投标人</w:t>
      </w:r>
      <w:r>
        <w:rPr>
          <w:rFonts w:hint="eastAsia" w:ascii="宋体" w:hAnsi="宋体" w:cs="宋体"/>
          <w:sz w:val="24"/>
          <w:u w:val="single"/>
        </w:rPr>
        <w:t xml:space="preserve">      （投标人全称）        </w:t>
      </w:r>
      <w:r>
        <w:rPr>
          <w:rFonts w:hint="eastAsia" w:ascii="宋体" w:hAnsi="宋体" w:cs="宋体"/>
          <w:sz w:val="24"/>
        </w:rPr>
        <w:t>参加</w:t>
      </w:r>
      <w:r>
        <w:rPr>
          <w:rFonts w:hint="eastAsia" w:ascii="宋体" w:hAnsi="宋体" w:cs="宋体"/>
          <w:sz w:val="24"/>
          <w:u w:val="single"/>
        </w:rPr>
        <w:t xml:space="preserve">   （项目名称）   </w:t>
      </w: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）的磋商活动，现郑重承诺：</w:t>
      </w:r>
    </w:p>
    <w:p>
      <w:pPr>
        <w:snapToGrid w:val="0"/>
        <w:spacing w:line="360" w:lineRule="auto"/>
        <w:ind w:firstLine="480" w:firstLineChars="200"/>
        <w:rPr>
          <w:rFonts w:ascii="宋体" w:hAnsi="宋体" w:cs="宋体"/>
          <w:sz w:val="24"/>
        </w:rPr>
      </w:pPr>
      <w:r>
        <w:rPr>
          <w:rFonts w:hint="eastAsia" w:ascii="宋体" w:hAnsi="宋体" w:cs="宋体"/>
          <w:sz w:val="24"/>
        </w:rPr>
        <w:t>本投标人</w:t>
      </w:r>
      <w:r>
        <w:rPr>
          <w:rFonts w:hint="eastAsia" w:ascii="宋体" w:hAnsi="宋体" w:cs="宋体"/>
          <w:sz w:val="24"/>
          <w:shd w:val="clear" w:color="auto" w:fill="FFFFFF"/>
        </w:rPr>
        <w:t>具有良好的商业信誉和健全的财务会计制度，投标人提供承诺函</w:t>
      </w:r>
      <w:r>
        <w:rPr>
          <w:rFonts w:hint="eastAsia" w:ascii="宋体" w:hAnsi="宋体" w:cs="宋体"/>
          <w:sz w:val="24"/>
        </w:rPr>
        <w:t>。</w:t>
      </w:r>
    </w:p>
    <w:p>
      <w:pPr>
        <w:snapToGrid w:val="0"/>
        <w:spacing w:line="360" w:lineRule="auto"/>
        <w:ind w:firstLine="480" w:firstLineChars="200"/>
        <w:rPr>
          <w:rFonts w:ascii="宋体" w:hAnsi="宋体" w:cs="宋体"/>
          <w:sz w:val="24"/>
        </w:rPr>
      </w:pPr>
      <w:r>
        <w:rPr>
          <w:rFonts w:hint="eastAsia" w:ascii="宋体" w:hAnsi="宋体" w:cs="宋体"/>
          <w:sz w:val="24"/>
        </w:rPr>
        <w:t>本投标人对上述承诺的内容事项真实性负责，如经查实上述承诺的内容事项存在虚假，本投标人愿意接受以提供虚假材料谋取中标追究法律责任。</w:t>
      </w:r>
    </w:p>
    <w:p>
      <w:pPr>
        <w:snapToGrid w:val="0"/>
        <w:spacing w:line="360" w:lineRule="auto"/>
        <w:ind w:firstLine="480" w:firstLineChars="200"/>
        <w:rPr>
          <w:rFonts w:ascii="宋体" w:hAnsi="宋体" w:cs="宋体"/>
          <w:sz w:val="24"/>
        </w:rPr>
      </w:pPr>
      <w:r>
        <w:rPr>
          <w:rFonts w:hint="eastAsia" w:ascii="宋体" w:hAnsi="宋体" w:cs="宋体"/>
          <w:sz w:val="24"/>
        </w:rPr>
        <w:t>特此承诺。</w:t>
      </w:r>
    </w:p>
    <w:p>
      <w:pPr>
        <w:snapToGrid w:val="0"/>
        <w:spacing w:line="360" w:lineRule="auto"/>
        <w:ind w:firstLine="480" w:firstLineChars="200"/>
        <w:rPr>
          <w:rFonts w:ascii="宋体" w:hAnsi="宋体" w:cs="宋体"/>
          <w:sz w:val="24"/>
        </w:rPr>
      </w:pPr>
    </w:p>
    <w:p>
      <w:pPr>
        <w:widowControl/>
        <w:snapToGrid w:val="0"/>
        <w:spacing w:line="360" w:lineRule="auto"/>
        <w:ind w:firstLine="480" w:firstLineChars="200"/>
        <w:jc w:val="left"/>
        <w:outlineLvl w:val="1"/>
        <w:rPr>
          <w:rFonts w:ascii="宋体" w:hAnsi="宋体" w:cs="宋体"/>
          <w:sz w:val="24"/>
        </w:rPr>
      </w:pPr>
      <w:r>
        <w:rPr>
          <w:rFonts w:hint="eastAsia" w:ascii="宋体" w:hAnsi="宋体" w:cs="宋体"/>
          <w:sz w:val="24"/>
        </w:rPr>
        <w:t>投标人名称：</w:t>
      </w:r>
      <w:r>
        <w:rPr>
          <w:rFonts w:hint="eastAsia" w:ascii="宋体" w:hAnsi="宋体" w:cs="宋体"/>
          <w:sz w:val="24"/>
          <w:u w:val="single"/>
        </w:rPr>
        <w:t xml:space="preserve">  （投标人全称）  </w:t>
      </w:r>
      <w:r>
        <w:rPr>
          <w:rFonts w:hint="eastAsia" w:ascii="宋体" w:hAnsi="宋体" w:cs="宋体"/>
          <w:sz w:val="24"/>
        </w:rPr>
        <w:t>（加盖公章）</w:t>
      </w:r>
    </w:p>
    <w:p>
      <w:pPr>
        <w:widowControl/>
        <w:snapToGrid w:val="0"/>
        <w:spacing w:line="360" w:lineRule="auto"/>
        <w:ind w:firstLine="480" w:firstLineChars="200"/>
        <w:jc w:val="left"/>
        <w:outlineLvl w:val="1"/>
        <w:rPr>
          <w:rFonts w:ascii="宋体" w:hAnsi="宋体" w:cs="宋体"/>
          <w:sz w:val="24"/>
        </w:rPr>
      </w:pPr>
      <w:r>
        <w:rPr>
          <w:rFonts w:hint="eastAsia" w:ascii="宋体" w:hAnsi="宋体" w:cs="宋体"/>
          <w:sz w:val="24"/>
        </w:rPr>
        <w:t>法定代表人或授权代表：</w:t>
      </w:r>
      <w:r>
        <w:rPr>
          <w:rFonts w:hint="eastAsia" w:ascii="宋体" w:hAnsi="宋体" w:cs="宋体"/>
          <w:sz w:val="24"/>
          <w:u w:val="single"/>
        </w:rPr>
        <w:t xml:space="preserve">    （签字或盖章）   </w:t>
      </w:r>
    </w:p>
    <w:p>
      <w:pPr>
        <w:widowControl/>
        <w:snapToGrid w:val="0"/>
        <w:spacing w:line="360" w:lineRule="auto"/>
        <w:ind w:firstLine="480" w:firstLineChars="200"/>
        <w:jc w:val="left"/>
        <w:outlineLvl w:val="1"/>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snapToGrid w:val="0"/>
        <w:spacing w:line="360" w:lineRule="auto"/>
        <w:ind w:firstLine="480" w:firstLineChars="200"/>
        <w:jc w:val="left"/>
        <w:outlineLvl w:val="1"/>
        <w:rPr>
          <w:rFonts w:ascii="宋体" w:hAnsi="宋体" w:cs="宋体"/>
          <w:sz w:val="24"/>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rPr>
          <w:rFonts w:ascii="宋体" w:hAnsi="宋体" w:eastAsia="宋体" w:cs="宋体"/>
          <w:b/>
          <w:bCs/>
        </w:rPr>
      </w:pPr>
      <w:r>
        <w:rPr>
          <w:rFonts w:hint="eastAsia" w:ascii="宋体" w:hAnsi="宋体" w:eastAsia="宋体" w:cs="宋体"/>
          <w:b/>
          <w:bCs/>
        </w:rPr>
        <w:t>2-6</w:t>
      </w: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p>
    <w:p>
      <w:pPr>
        <w:pStyle w:val="13"/>
        <w:snapToGrid w:val="0"/>
        <w:ind w:firstLine="0" w:firstLineChars="0"/>
        <w:jc w:val="center"/>
        <w:rPr>
          <w:rFonts w:ascii="宋体" w:hAnsi="宋体" w:eastAsia="宋体" w:cs="宋体"/>
        </w:rPr>
      </w:pPr>
      <w:r>
        <w:rPr>
          <w:rFonts w:hint="eastAsia" w:ascii="宋体" w:hAnsi="宋体" w:eastAsia="宋体" w:cs="宋体"/>
        </w:rPr>
        <w:t>履行合同所必需的设备和专业技术能力的承诺函</w:t>
      </w:r>
    </w:p>
    <w:p>
      <w:pPr>
        <w:snapToGrid w:val="0"/>
        <w:spacing w:before="468" w:beforeLines="150" w:after="156" w:afterLines="50" w:line="360" w:lineRule="auto"/>
        <w:rPr>
          <w:rFonts w:ascii="宋体" w:hAnsi="宋体" w:cs="宋体"/>
          <w:sz w:val="24"/>
        </w:rPr>
      </w:pPr>
      <w:r>
        <w:rPr>
          <w:rFonts w:hint="eastAsia" w:ascii="宋体" w:hAnsi="宋体" w:cs="宋体"/>
          <w:sz w:val="24"/>
        </w:rPr>
        <w:t>四川省妇幼保健院：</w:t>
      </w:r>
    </w:p>
    <w:p>
      <w:pPr>
        <w:snapToGrid w:val="0"/>
        <w:spacing w:after="156" w:afterLines="50" w:line="360" w:lineRule="auto"/>
        <w:ind w:firstLine="480" w:firstLineChars="200"/>
        <w:rPr>
          <w:rFonts w:ascii="宋体" w:hAnsi="宋体" w:cs="宋体"/>
          <w:sz w:val="24"/>
        </w:rPr>
      </w:pPr>
      <w:r>
        <w:rPr>
          <w:rFonts w:hint="eastAsia" w:ascii="宋体" w:hAnsi="宋体" w:cs="宋体"/>
          <w:sz w:val="24"/>
        </w:rPr>
        <w:t>本投标人</w:t>
      </w:r>
      <w:r>
        <w:rPr>
          <w:rFonts w:hint="eastAsia" w:ascii="宋体" w:hAnsi="宋体" w:cs="宋体"/>
          <w:sz w:val="24"/>
          <w:u w:val="single"/>
        </w:rPr>
        <w:t xml:space="preserve">     （投标人全称）     </w:t>
      </w:r>
      <w:r>
        <w:rPr>
          <w:rFonts w:hint="eastAsia" w:ascii="宋体" w:hAnsi="宋体" w:cs="宋体"/>
          <w:sz w:val="24"/>
        </w:rPr>
        <w:t>参加</w:t>
      </w:r>
      <w:r>
        <w:rPr>
          <w:rFonts w:hint="eastAsia" w:ascii="宋体" w:hAnsi="宋体" w:cs="宋体"/>
          <w:sz w:val="24"/>
          <w:u w:val="single"/>
        </w:rPr>
        <w:t xml:space="preserve">   （项目名称）   </w:t>
      </w: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）的磋商活动，现郑重承诺：</w:t>
      </w:r>
    </w:p>
    <w:p>
      <w:pPr>
        <w:snapToGrid w:val="0"/>
        <w:spacing w:line="360" w:lineRule="auto"/>
        <w:ind w:firstLine="480" w:firstLineChars="200"/>
        <w:rPr>
          <w:rFonts w:ascii="宋体" w:hAnsi="宋体" w:cs="宋体"/>
          <w:sz w:val="24"/>
        </w:rPr>
      </w:pPr>
      <w:r>
        <w:rPr>
          <w:rFonts w:hint="eastAsia" w:ascii="宋体" w:hAnsi="宋体" w:cs="宋体"/>
          <w:sz w:val="24"/>
        </w:rPr>
        <w:t>本投标人</w:t>
      </w:r>
      <w:r>
        <w:rPr>
          <w:rFonts w:hint="eastAsia" w:ascii="宋体" w:hAnsi="宋体" w:cs="宋体"/>
          <w:sz w:val="24"/>
          <w:shd w:val="clear" w:color="auto" w:fill="FFFFFF"/>
        </w:rPr>
        <w:t>具有履行合同所必须的设备和专业技术能力</w:t>
      </w:r>
      <w:r>
        <w:rPr>
          <w:rFonts w:hint="eastAsia" w:ascii="宋体" w:hAnsi="宋体" w:cs="宋体"/>
          <w:sz w:val="24"/>
        </w:rPr>
        <w:t>。</w:t>
      </w:r>
    </w:p>
    <w:p>
      <w:pPr>
        <w:snapToGrid w:val="0"/>
        <w:spacing w:line="360" w:lineRule="auto"/>
        <w:ind w:firstLine="480" w:firstLineChars="200"/>
        <w:rPr>
          <w:rFonts w:ascii="宋体" w:hAnsi="宋体" w:cs="宋体"/>
          <w:sz w:val="24"/>
        </w:rPr>
      </w:pPr>
      <w:r>
        <w:rPr>
          <w:rFonts w:hint="eastAsia" w:ascii="宋体" w:hAnsi="宋体" w:cs="宋体"/>
          <w:sz w:val="24"/>
        </w:rPr>
        <w:t>本投标人对上述承诺的内容事项真实性负责，如经查实上述承诺的内容事项存在虚假，本投标人愿意接受以提供虚假材料谋取中标追究法律责任。</w:t>
      </w:r>
    </w:p>
    <w:p>
      <w:pPr>
        <w:snapToGrid w:val="0"/>
        <w:spacing w:line="360" w:lineRule="auto"/>
        <w:ind w:firstLine="480" w:firstLineChars="200"/>
        <w:rPr>
          <w:rFonts w:ascii="宋体" w:hAnsi="宋体" w:cs="宋体"/>
          <w:sz w:val="24"/>
        </w:rPr>
      </w:pPr>
      <w:r>
        <w:rPr>
          <w:rFonts w:hint="eastAsia" w:ascii="宋体" w:hAnsi="宋体" w:cs="宋体"/>
          <w:sz w:val="24"/>
        </w:rPr>
        <w:t>特此承诺。</w:t>
      </w:r>
    </w:p>
    <w:p>
      <w:pPr>
        <w:snapToGrid w:val="0"/>
        <w:spacing w:line="360" w:lineRule="auto"/>
        <w:ind w:firstLine="480" w:firstLineChars="200"/>
        <w:rPr>
          <w:rFonts w:ascii="宋体" w:hAnsi="宋体" w:cs="宋体"/>
          <w:sz w:val="24"/>
        </w:rPr>
      </w:pPr>
    </w:p>
    <w:p>
      <w:pPr>
        <w:widowControl/>
        <w:snapToGrid w:val="0"/>
        <w:spacing w:line="360" w:lineRule="auto"/>
        <w:ind w:firstLine="480" w:firstLineChars="200"/>
        <w:jc w:val="left"/>
        <w:outlineLvl w:val="1"/>
        <w:rPr>
          <w:rFonts w:ascii="宋体" w:hAnsi="宋体" w:cs="宋体"/>
          <w:sz w:val="24"/>
        </w:rPr>
      </w:pPr>
      <w:r>
        <w:rPr>
          <w:rFonts w:hint="eastAsia" w:ascii="宋体" w:hAnsi="宋体" w:cs="宋体"/>
          <w:sz w:val="24"/>
        </w:rPr>
        <w:t>投标人名称：</w:t>
      </w:r>
      <w:r>
        <w:rPr>
          <w:rFonts w:hint="eastAsia" w:ascii="宋体" w:hAnsi="宋体" w:cs="宋体"/>
          <w:sz w:val="24"/>
          <w:u w:val="single"/>
        </w:rPr>
        <w:t xml:space="preserve">  （投标人全称）  </w:t>
      </w:r>
      <w:r>
        <w:rPr>
          <w:rFonts w:hint="eastAsia" w:ascii="宋体" w:hAnsi="宋体" w:cs="宋体"/>
          <w:sz w:val="24"/>
        </w:rPr>
        <w:t>（加盖公章）</w:t>
      </w:r>
    </w:p>
    <w:p>
      <w:pPr>
        <w:widowControl/>
        <w:snapToGrid w:val="0"/>
        <w:spacing w:line="360" w:lineRule="auto"/>
        <w:ind w:firstLine="480" w:firstLineChars="200"/>
        <w:jc w:val="left"/>
        <w:outlineLvl w:val="1"/>
        <w:rPr>
          <w:rFonts w:ascii="宋体" w:hAnsi="宋体" w:cs="宋体"/>
          <w:sz w:val="24"/>
        </w:rPr>
      </w:pPr>
      <w:r>
        <w:rPr>
          <w:rFonts w:hint="eastAsia" w:ascii="宋体" w:hAnsi="宋体" w:cs="宋体"/>
          <w:sz w:val="24"/>
        </w:rPr>
        <w:t>法定代表人或授权代表：</w:t>
      </w:r>
      <w:r>
        <w:rPr>
          <w:rFonts w:hint="eastAsia" w:ascii="宋体" w:hAnsi="宋体" w:cs="宋体"/>
          <w:sz w:val="24"/>
          <w:u w:val="single"/>
        </w:rPr>
        <w:t xml:space="preserve">    （签字或盖章）   </w:t>
      </w:r>
    </w:p>
    <w:p>
      <w:pPr>
        <w:widowControl/>
        <w:snapToGrid w:val="0"/>
        <w:spacing w:line="360" w:lineRule="auto"/>
        <w:ind w:firstLine="480" w:firstLineChars="200"/>
        <w:jc w:val="left"/>
        <w:outlineLvl w:val="1"/>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pStyle w:val="13"/>
        <w:snapToGrid w:val="0"/>
        <w:ind w:firstLine="480"/>
        <w:jc w:val="center"/>
        <w:rPr>
          <w:rFonts w:ascii="宋体" w:hAnsi="宋体" w:eastAsia="宋体" w:cs="宋体"/>
        </w:rPr>
      </w:pPr>
    </w:p>
    <w:p>
      <w:pPr>
        <w:spacing w:line="360" w:lineRule="auto"/>
        <w:rPr>
          <w:rFonts w:ascii="宋体" w:hAnsi="宋体" w:cs="宋体"/>
          <w:sz w:val="24"/>
        </w:rPr>
      </w:pPr>
      <w:r>
        <w:rPr>
          <w:rFonts w:hint="eastAsia" w:ascii="宋体" w:hAnsi="宋体" w:cs="宋体"/>
          <w:b/>
          <w:bCs/>
          <w:sz w:val="24"/>
        </w:rPr>
        <w:t>附件3 采购投标文件装订顺序</w:t>
      </w:r>
    </w:p>
    <w:p>
      <w:pPr>
        <w:pStyle w:val="3"/>
        <w:spacing w:line="360" w:lineRule="auto"/>
        <w:rPr>
          <w:rFonts w:ascii="宋体" w:hAnsi="宋体" w:cs="宋体"/>
          <w:sz w:val="24"/>
        </w:rPr>
      </w:pPr>
    </w:p>
    <w:p>
      <w:pPr>
        <w:numPr>
          <w:ilvl w:val="0"/>
          <w:numId w:val="4"/>
        </w:numPr>
        <w:spacing w:line="360" w:lineRule="auto"/>
        <w:rPr>
          <w:rFonts w:ascii="宋体" w:hAnsi="宋体" w:cs="宋体"/>
          <w:bCs/>
          <w:spacing w:val="8"/>
          <w:sz w:val="24"/>
        </w:rPr>
      </w:pPr>
      <w:r>
        <w:rPr>
          <w:rFonts w:hint="eastAsia" w:ascii="宋体" w:hAnsi="宋体" w:cs="宋体"/>
          <w:bCs/>
          <w:spacing w:val="8"/>
          <w:sz w:val="24"/>
        </w:rPr>
        <w:t>1.封面（公司、项目、联系人、联系方式）</w:t>
      </w:r>
    </w:p>
    <w:p>
      <w:pPr>
        <w:numPr>
          <w:ilvl w:val="0"/>
          <w:numId w:val="4"/>
        </w:numPr>
        <w:spacing w:line="360" w:lineRule="auto"/>
        <w:rPr>
          <w:rFonts w:ascii="宋体" w:hAnsi="宋体" w:cs="宋体"/>
          <w:bCs/>
          <w:spacing w:val="8"/>
          <w:sz w:val="24"/>
        </w:rPr>
      </w:pPr>
      <w:r>
        <w:rPr>
          <w:rFonts w:hint="eastAsia" w:ascii="宋体" w:hAnsi="宋体" w:cs="宋体"/>
          <w:bCs/>
          <w:spacing w:val="8"/>
          <w:sz w:val="24"/>
        </w:rPr>
        <w:t>2.目录</w:t>
      </w:r>
    </w:p>
    <w:p>
      <w:pPr>
        <w:numPr>
          <w:ilvl w:val="0"/>
          <w:numId w:val="4"/>
        </w:numPr>
        <w:adjustRightInd w:val="0"/>
        <w:spacing w:line="360" w:lineRule="auto"/>
        <w:rPr>
          <w:rFonts w:ascii="宋体" w:hAnsi="宋体" w:cs="宋体"/>
          <w:b/>
          <w:sz w:val="24"/>
        </w:rPr>
      </w:pPr>
      <w:r>
        <w:rPr>
          <w:rFonts w:hint="eastAsia" w:ascii="宋体" w:hAnsi="宋体" w:cs="宋体"/>
          <w:bCs/>
          <w:spacing w:val="8"/>
          <w:sz w:val="24"/>
        </w:rPr>
        <w:t>3.</w:t>
      </w:r>
      <w:r>
        <w:rPr>
          <w:rFonts w:hint="eastAsia" w:ascii="宋体" w:hAnsi="宋体" w:cs="宋体"/>
          <w:sz w:val="24"/>
        </w:rPr>
        <w:t>报价一览表</w:t>
      </w:r>
    </w:p>
    <w:p>
      <w:pPr>
        <w:numPr>
          <w:ilvl w:val="0"/>
          <w:numId w:val="4"/>
        </w:numPr>
        <w:adjustRightInd w:val="0"/>
        <w:spacing w:line="360" w:lineRule="auto"/>
        <w:rPr>
          <w:rFonts w:ascii="宋体" w:hAnsi="宋体" w:cs="宋体"/>
          <w:sz w:val="24"/>
        </w:rPr>
      </w:pPr>
      <w:r>
        <w:rPr>
          <w:rFonts w:hint="eastAsia" w:ascii="宋体" w:hAnsi="宋体" w:cs="宋体"/>
          <w:sz w:val="24"/>
        </w:rPr>
        <w:t>4.企业营业执照（复印件）</w:t>
      </w:r>
    </w:p>
    <w:p>
      <w:pPr>
        <w:numPr>
          <w:ilvl w:val="0"/>
          <w:numId w:val="4"/>
        </w:numPr>
        <w:spacing w:line="360" w:lineRule="auto"/>
        <w:rPr>
          <w:rFonts w:ascii="宋体" w:hAnsi="宋体" w:cs="宋体"/>
          <w:sz w:val="24"/>
        </w:rPr>
      </w:pPr>
      <w:r>
        <w:rPr>
          <w:rFonts w:hint="eastAsia" w:ascii="宋体" w:hAnsi="宋体" w:cs="宋体"/>
          <w:sz w:val="24"/>
        </w:rPr>
        <w:t>5.供应商资质</w:t>
      </w:r>
    </w:p>
    <w:p>
      <w:pPr>
        <w:numPr>
          <w:ilvl w:val="0"/>
          <w:numId w:val="4"/>
        </w:numPr>
        <w:spacing w:line="360" w:lineRule="auto"/>
        <w:rPr>
          <w:rFonts w:ascii="宋体" w:hAnsi="宋体" w:cs="宋体"/>
          <w:sz w:val="24"/>
        </w:rPr>
      </w:pPr>
      <w:r>
        <w:rPr>
          <w:rFonts w:hint="eastAsia" w:ascii="宋体" w:hAnsi="宋体" w:cs="宋体"/>
          <w:sz w:val="24"/>
        </w:rPr>
        <w:t>6.禁止围标、串标情况承诺函</w:t>
      </w:r>
    </w:p>
    <w:p>
      <w:pPr>
        <w:numPr>
          <w:ilvl w:val="0"/>
          <w:numId w:val="4"/>
        </w:numPr>
        <w:spacing w:line="360" w:lineRule="auto"/>
        <w:rPr>
          <w:rFonts w:ascii="宋体" w:hAnsi="宋体" w:cs="宋体"/>
          <w:sz w:val="24"/>
        </w:rPr>
      </w:pPr>
      <w:r>
        <w:rPr>
          <w:rFonts w:hint="eastAsia" w:ascii="宋体" w:hAnsi="宋体" w:cs="宋体"/>
          <w:sz w:val="24"/>
        </w:rPr>
        <w:t>7.</w:t>
      </w:r>
      <w:r>
        <w:rPr>
          <w:rFonts w:hint="eastAsia" w:ascii="宋体" w:hAnsi="宋体" w:cs="宋体"/>
          <w:bCs/>
          <w:sz w:val="24"/>
        </w:rPr>
        <w:t>如有</w:t>
      </w:r>
      <w:r>
        <w:rPr>
          <w:rFonts w:hint="eastAsia" w:ascii="宋体" w:hAnsi="宋体" w:cs="宋体"/>
          <w:sz w:val="24"/>
        </w:rPr>
        <w:t>企业管理体系认证（考核），请提供的有效证明文件的复印或扫描件，质量管理体系认证包括FDA、CE、ISO等认证（提供中文翻译复印件）</w:t>
      </w:r>
    </w:p>
    <w:p>
      <w:pPr>
        <w:numPr>
          <w:ilvl w:val="0"/>
          <w:numId w:val="4"/>
        </w:numPr>
        <w:spacing w:line="360" w:lineRule="auto"/>
        <w:rPr>
          <w:rFonts w:ascii="宋体" w:hAnsi="宋体" w:cs="宋体"/>
          <w:sz w:val="24"/>
        </w:rPr>
      </w:pPr>
      <w:r>
        <w:rPr>
          <w:rFonts w:hint="eastAsia" w:ascii="宋体" w:hAnsi="宋体" w:cs="宋体"/>
          <w:bCs/>
          <w:sz w:val="24"/>
        </w:rPr>
        <w:t>8.行业相关</w:t>
      </w:r>
      <w:r>
        <w:rPr>
          <w:rFonts w:hint="eastAsia" w:ascii="宋体" w:hAnsi="宋体" w:cs="宋体"/>
          <w:sz w:val="24"/>
        </w:rPr>
        <w:t>规范或标准（如有）</w:t>
      </w:r>
    </w:p>
    <w:p>
      <w:pPr>
        <w:numPr>
          <w:ilvl w:val="0"/>
          <w:numId w:val="4"/>
        </w:numPr>
        <w:spacing w:line="360" w:lineRule="auto"/>
        <w:rPr>
          <w:rFonts w:ascii="宋体" w:hAnsi="宋体" w:cs="宋体"/>
          <w:sz w:val="24"/>
        </w:rPr>
      </w:pPr>
      <w:r>
        <w:rPr>
          <w:rFonts w:hint="eastAsia" w:ascii="宋体" w:hAnsi="宋体" w:cs="宋体"/>
          <w:sz w:val="24"/>
        </w:rPr>
        <w:t>9.</w:t>
      </w:r>
      <w:r>
        <w:rPr>
          <w:rFonts w:hint="eastAsia" w:ascii="宋体" w:hAnsi="宋体" w:cs="宋体"/>
          <w:bCs/>
          <w:spacing w:val="8"/>
          <w:sz w:val="24"/>
        </w:rPr>
        <w:t>售后</w:t>
      </w:r>
      <w:r>
        <w:rPr>
          <w:rFonts w:hint="eastAsia" w:ascii="宋体" w:hAnsi="宋体" w:cs="宋体"/>
          <w:bCs/>
          <w:sz w:val="24"/>
        </w:rPr>
        <w:t>服务承诺</w:t>
      </w:r>
    </w:p>
    <w:p>
      <w:pPr>
        <w:numPr>
          <w:ilvl w:val="0"/>
          <w:numId w:val="4"/>
        </w:numPr>
        <w:spacing w:line="360" w:lineRule="auto"/>
        <w:rPr>
          <w:rFonts w:ascii="宋体" w:hAnsi="宋体" w:cs="宋体"/>
          <w:sz w:val="24"/>
        </w:rPr>
      </w:pPr>
      <w:r>
        <w:rPr>
          <w:rFonts w:hint="eastAsia" w:ascii="宋体" w:hAnsi="宋体" w:cs="宋体"/>
          <w:bCs/>
          <w:sz w:val="24"/>
        </w:rPr>
        <w:t>10.投标人认为需要提供的其它文件</w:t>
      </w:r>
    </w:p>
    <w:p>
      <w:pPr>
        <w:numPr>
          <w:ilvl w:val="0"/>
          <w:numId w:val="4"/>
        </w:numPr>
        <w:tabs>
          <w:tab w:val="left" w:pos="0"/>
        </w:tabs>
        <w:spacing w:line="360" w:lineRule="auto"/>
        <w:rPr>
          <w:rFonts w:ascii="宋体" w:hAnsi="宋体" w:cs="宋体"/>
          <w:bCs/>
          <w:sz w:val="24"/>
        </w:rPr>
      </w:pPr>
      <w:r>
        <w:rPr>
          <w:rFonts w:hint="eastAsia" w:ascii="宋体" w:hAnsi="宋体" w:cs="宋体"/>
          <w:bCs/>
          <w:spacing w:val="8"/>
          <w:sz w:val="24"/>
        </w:rPr>
        <w:t>11.封底</w:t>
      </w:r>
    </w:p>
    <w:p>
      <w:pPr>
        <w:spacing w:line="360" w:lineRule="auto"/>
        <w:rPr>
          <w:rFonts w:ascii="宋体" w:hAnsi="宋体" w:cs="宋体"/>
          <w:b/>
          <w:bCs/>
          <w:sz w:val="24"/>
        </w:rPr>
      </w:pPr>
      <w:r>
        <w:rPr>
          <w:rFonts w:hint="eastAsia" w:ascii="宋体" w:hAnsi="宋体" w:cs="宋体"/>
          <w:b/>
          <w:bCs/>
          <w:sz w:val="24"/>
        </w:rPr>
        <w:t>注：请务必按以上顺序装订资料，如有非中文资料，请同时提供中文翻译件。</w:t>
      </w:r>
    </w:p>
    <w:p>
      <w:pPr>
        <w:snapToGrid w:val="0"/>
        <w:spacing w:line="360" w:lineRule="auto"/>
        <w:ind w:firstLine="487" w:firstLineChars="202"/>
        <w:textAlignment w:val="baseline"/>
        <w:rPr>
          <w:rFonts w:ascii="宋体" w:hAnsi="宋体" w:cs="宋体"/>
          <w:b/>
          <w:bCs/>
          <w:sz w:val="24"/>
        </w:rPr>
      </w:pPr>
    </w:p>
    <w:p>
      <w:pPr>
        <w:tabs>
          <w:tab w:val="left" w:pos="6645"/>
        </w:tabs>
        <w:snapToGrid w:val="0"/>
        <w:spacing w:line="360" w:lineRule="auto"/>
        <w:textAlignment w:val="baseline"/>
        <w:rPr>
          <w:rFonts w:ascii="宋体" w:hAnsi="宋体" w:cs="宋体"/>
          <w:sz w:val="24"/>
        </w:rPr>
      </w:pPr>
    </w:p>
    <w:p>
      <w:pPr>
        <w:tabs>
          <w:tab w:val="left" w:pos="6645"/>
        </w:tabs>
        <w:snapToGrid w:val="0"/>
        <w:spacing w:line="360" w:lineRule="auto"/>
        <w:textAlignment w:val="baseline"/>
        <w:rPr>
          <w:rFonts w:ascii="宋体" w:hAnsi="宋体" w:cs="宋体"/>
          <w:sz w:val="24"/>
        </w:rPr>
      </w:pPr>
    </w:p>
    <w:p>
      <w:pPr>
        <w:tabs>
          <w:tab w:val="left" w:pos="6645"/>
        </w:tabs>
        <w:snapToGrid w:val="0"/>
        <w:spacing w:line="360" w:lineRule="auto"/>
        <w:textAlignment w:val="baseline"/>
        <w:rPr>
          <w:rFonts w:ascii="宋体" w:hAnsi="宋体" w:cs="宋体"/>
          <w:sz w:val="24"/>
        </w:rPr>
      </w:pPr>
    </w:p>
    <w:p>
      <w:pPr>
        <w:tabs>
          <w:tab w:val="left" w:pos="6645"/>
        </w:tabs>
        <w:snapToGrid w:val="0"/>
        <w:spacing w:line="360" w:lineRule="auto"/>
        <w:textAlignment w:val="baseline"/>
        <w:rPr>
          <w:rFonts w:ascii="宋体" w:hAnsi="宋体" w:cs="宋体"/>
          <w:sz w:val="24"/>
        </w:rPr>
      </w:pPr>
    </w:p>
    <w:p>
      <w:pPr>
        <w:tabs>
          <w:tab w:val="left" w:pos="6645"/>
        </w:tabs>
        <w:snapToGrid w:val="0"/>
        <w:spacing w:line="360" w:lineRule="auto"/>
        <w:textAlignment w:val="baseline"/>
        <w:rPr>
          <w:rFonts w:ascii="宋体" w:hAnsi="宋体" w:cs="宋体"/>
          <w:sz w:val="24"/>
        </w:rPr>
      </w:pPr>
    </w:p>
    <w:p>
      <w:pPr>
        <w:tabs>
          <w:tab w:val="left" w:pos="6645"/>
        </w:tabs>
        <w:snapToGrid w:val="0"/>
        <w:spacing w:line="360" w:lineRule="auto"/>
        <w:textAlignment w:val="baseline"/>
        <w:rPr>
          <w:rFonts w:ascii="宋体" w:hAnsi="宋体" w:cs="宋体"/>
          <w:sz w:val="24"/>
        </w:rPr>
      </w:pPr>
    </w:p>
    <w:p>
      <w:pPr>
        <w:pStyle w:val="7"/>
        <w:spacing w:line="360" w:lineRule="auto"/>
        <w:rPr>
          <w:rFonts w:ascii="宋体" w:hAnsi="宋体" w:cs="宋体"/>
          <w:sz w:val="24"/>
        </w:rPr>
      </w:pPr>
    </w:p>
    <w:p>
      <w:pPr>
        <w:spacing w:line="360" w:lineRule="auto"/>
        <w:rPr>
          <w:rFonts w:ascii="宋体" w:hAnsi="宋体" w:cs="宋体"/>
          <w:sz w:val="24"/>
        </w:rPr>
      </w:pPr>
    </w:p>
    <w:p>
      <w:pPr>
        <w:pStyle w:val="7"/>
        <w:spacing w:line="360" w:lineRule="auto"/>
        <w:rPr>
          <w:rFonts w:ascii="宋体" w:hAnsi="宋体" w:cs="宋体"/>
          <w:sz w:val="24"/>
        </w:rPr>
      </w:pPr>
    </w:p>
    <w:p>
      <w:pPr>
        <w:spacing w:line="360" w:lineRule="auto"/>
        <w:rPr>
          <w:rFonts w:ascii="宋体" w:hAnsi="宋体" w:cs="宋体"/>
          <w:sz w:val="24"/>
        </w:rPr>
      </w:pPr>
    </w:p>
    <w:p>
      <w:pPr>
        <w:pStyle w:val="7"/>
        <w:spacing w:line="360" w:lineRule="auto"/>
        <w:rPr>
          <w:rFonts w:ascii="宋体" w:hAnsi="宋体" w:cs="宋体"/>
          <w:sz w:val="24"/>
        </w:rPr>
      </w:pPr>
    </w:p>
    <w:p>
      <w:pPr>
        <w:spacing w:line="360" w:lineRule="auto"/>
        <w:rPr>
          <w:rFonts w:ascii="宋体" w:hAnsi="宋体" w:cs="宋体"/>
          <w:sz w:val="24"/>
        </w:rPr>
      </w:pPr>
    </w:p>
    <w:p>
      <w:pPr>
        <w:pStyle w:val="7"/>
        <w:spacing w:line="360" w:lineRule="auto"/>
        <w:rPr>
          <w:rFonts w:ascii="宋体" w:hAnsi="宋体" w:cs="宋体"/>
          <w:sz w:val="24"/>
        </w:rPr>
      </w:pPr>
    </w:p>
    <w:p>
      <w:pPr>
        <w:spacing w:line="360" w:lineRule="auto"/>
        <w:rPr>
          <w:rFonts w:ascii="宋体" w:hAnsi="宋体" w:cs="宋体"/>
          <w:sz w:val="24"/>
        </w:rPr>
      </w:pPr>
    </w:p>
    <w:p>
      <w:pPr>
        <w:pStyle w:val="7"/>
        <w:spacing w:line="360" w:lineRule="auto"/>
        <w:rPr>
          <w:rFonts w:ascii="宋体" w:hAnsi="宋体" w:cs="宋体"/>
          <w:sz w:val="24"/>
        </w:rPr>
      </w:pPr>
    </w:p>
    <w:p>
      <w:pPr>
        <w:tabs>
          <w:tab w:val="left" w:pos="6645"/>
        </w:tabs>
        <w:snapToGrid w:val="0"/>
        <w:spacing w:line="360" w:lineRule="auto"/>
        <w:textAlignment w:val="baseline"/>
        <w:rPr>
          <w:rFonts w:ascii="宋体" w:hAnsi="宋体" w:cs="宋体"/>
          <w:b/>
          <w:bCs/>
          <w:sz w:val="24"/>
        </w:rPr>
      </w:pPr>
      <w:r>
        <w:rPr>
          <w:rFonts w:hint="eastAsia" w:ascii="宋体" w:hAnsi="宋体" w:cs="宋体"/>
          <w:b/>
          <w:bCs/>
          <w:sz w:val="24"/>
        </w:rPr>
        <w:t>附件4</w:t>
      </w:r>
    </w:p>
    <w:p>
      <w:pPr>
        <w:tabs>
          <w:tab w:val="left" w:pos="6645"/>
        </w:tabs>
        <w:snapToGrid w:val="0"/>
        <w:spacing w:line="360" w:lineRule="auto"/>
        <w:jc w:val="center"/>
        <w:textAlignment w:val="baseline"/>
        <w:rPr>
          <w:rFonts w:ascii="宋体" w:hAnsi="宋体" w:cs="宋体"/>
          <w:sz w:val="24"/>
        </w:rPr>
      </w:pPr>
      <w:r>
        <w:rPr>
          <w:rFonts w:hint="eastAsia" w:ascii="宋体" w:hAnsi="宋体" w:cs="宋体"/>
          <w:sz w:val="24"/>
        </w:rPr>
        <w:t>反商业贿赂承诺书</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一、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二、本厂家、商家、公司保证在药品、医疗器械、设备、物资、基建工程竞标工作及药品、试剂销售等工作中承诺做到：</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1.不与其他投标人相互串通投标报价，损害贵院的合法权益；</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2.不与招标人串通投标，损害国家利益、社会公共利益或他人的合法权益；</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3.不以向招标人或者评标委员会成员行贿的手段谋取中标；</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4.竞标报价不违反相关法律的规定，也不以他人名义投标或者以其他方式弄虚作假，骗取中标；</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5.保证不以其他任何方式扰乱贵院的招标工作；</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6.保证不在药品销售、医疗器械、设备、物资、基建工程竞标中采取账外暗中给予回扣的手段腐蚀、贿赂医护、药剂人员、干部等其他相关人员；</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7.保证不以任何名义包括以宣传费、临床促销费、开单费、处方费、广告费、免费度假、考察旅游、房屋装修等任何名义给予贵院采购人员、药剂人员、医护人员、干部等有关人员以财物或者其他利益；</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8.保证不让贵院临床科室、药剂部门以及有关人员登记、统计医生处方或为此提供方便，干扰贵院的正常工作秩序；</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9.保证不以其他任何不正当竞争手段推销药品、医疗器械、设备、物资。</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三、 本厂家、商家、公司保证竭力维护贵院的声誉，不做任何有损贵院形象的事情。</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四、 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五、 对本厂家、商家、公司及本厂家、商家、公司工作人员采取以上手段竞标、促销等，干扰贵院正常工作秩序，损害贵院形象的，本厂家、商家、公司保证：</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1.对尚处在竞标阶段的，贵院有权取消本厂家、商家、公司的竞标资格；已经中标的，贵院有权取消中标；对已经获得准入资格的，贵院有权随时取消本厂家、商家、公司的准入资格；</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2.对本厂家、商家、公司相关工作人员作出严肃处理；</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3.对由于本厂家、商家、公司或本厂家、商家、公司工作人员的上述行为给贵院造成经济或名誉损失的，由本厂家、商家、公司负责，并愿意承担全部民事赔偿责任。</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 xml:space="preserve">六、 采购物资名称：                                   </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本《承诺书》一式二份（一份由承诺人自存；一份随竞价书传递）</w:t>
      </w:r>
    </w:p>
    <w:p>
      <w:pPr>
        <w:snapToGrid w:val="0"/>
        <w:spacing w:line="360" w:lineRule="auto"/>
        <w:ind w:firstLine="480" w:firstLineChars="200"/>
        <w:textAlignment w:val="baseline"/>
        <w:rPr>
          <w:rFonts w:ascii="宋体" w:hAnsi="宋体" w:cs="宋体"/>
          <w:sz w:val="24"/>
        </w:rPr>
      </w:pPr>
    </w:p>
    <w:p>
      <w:pPr>
        <w:snapToGrid w:val="0"/>
        <w:spacing w:line="360" w:lineRule="auto"/>
        <w:textAlignment w:val="baseline"/>
        <w:rPr>
          <w:rFonts w:ascii="宋体" w:hAnsi="宋体" w:cs="宋体"/>
          <w:sz w:val="24"/>
        </w:rPr>
      </w:pPr>
      <w:r>
        <w:rPr>
          <w:rFonts w:hint="eastAsia" w:ascii="宋体" w:hAnsi="宋体" w:cs="宋体"/>
          <w:sz w:val="24"/>
        </w:rPr>
        <w:t>承诺企业名称（公章）：</w:t>
      </w:r>
    </w:p>
    <w:p>
      <w:pPr>
        <w:snapToGrid w:val="0"/>
        <w:spacing w:line="360" w:lineRule="auto"/>
        <w:textAlignment w:val="baseline"/>
        <w:rPr>
          <w:rFonts w:ascii="宋体" w:hAnsi="宋体" w:cs="宋体"/>
          <w:sz w:val="24"/>
        </w:rPr>
      </w:pPr>
      <w:r>
        <w:rPr>
          <w:rFonts w:hint="eastAsia" w:ascii="宋体" w:hAnsi="宋体" w:cs="宋体"/>
          <w:sz w:val="24"/>
        </w:rPr>
        <w:t xml:space="preserve">                  </w:t>
      </w:r>
    </w:p>
    <w:p>
      <w:pPr>
        <w:snapToGrid w:val="0"/>
        <w:spacing w:line="360" w:lineRule="auto"/>
        <w:textAlignment w:val="baseline"/>
        <w:rPr>
          <w:rFonts w:ascii="宋体" w:hAnsi="宋体" w:cs="宋体"/>
          <w:sz w:val="24"/>
        </w:rPr>
      </w:pPr>
      <w:r>
        <w:rPr>
          <w:rFonts w:hint="eastAsia" w:ascii="宋体" w:hAnsi="宋体" w:cs="宋体"/>
          <w:sz w:val="24"/>
        </w:rPr>
        <w:t>法人代表或委托代理人（承诺人）：</w:t>
      </w:r>
    </w:p>
    <w:p>
      <w:pPr>
        <w:pStyle w:val="4"/>
        <w:spacing w:line="360" w:lineRule="auto"/>
        <w:rPr>
          <w:rFonts w:ascii="宋体" w:hAnsi="宋体" w:cs="宋体"/>
          <w:sz w:val="24"/>
          <w:szCs w:val="24"/>
        </w:rPr>
      </w:pPr>
    </w:p>
    <w:p>
      <w:pPr>
        <w:pStyle w:val="4"/>
        <w:spacing w:line="360" w:lineRule="auto"/>
        <w:rPr>
          <w:rFonts w:ascii="宋体" w:hAnsi="宋体" w:cs="宋体"/>
          <w:sz w:val="24"/>
          <w:szCs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p>
    <w:p>
      <w:pPr>
        <w:pStyle w:val="3"/>
        <w:spacing w:line="360" w:lineRule="auto"/>
        <w:rPr>
          <w:rFonts w:ascii="宋体" w:hAnsi="宋体" w:cs="宋体"/>
          <w:b/>
          <w:bCs/>
          <w:sz w:val="24"/>
        </w:rPr>
      </w:pPr>
      <w:r>
        <w:rPr>
          <w:rFonts w:hint="eastAsia" w:ascii="宋体" w:hAnsi="宋体" w:cs="宋体"/>
          <w:b/>
          <w:bCs/>
          <w:sz w:val="24"/>
        </w:rPr>
        <w:t xml:space="preserve">附件5 </w:t>
      </w:r>
    </w:p>
    <w:p>
      <w:pPr>
        <w:spacing w:line="360" w:lineRule="auto"/>
        <w:rPr>
          <w:rFonts w:ascii="宋体" w:hAnsi="宋体" w:cs="宋体"/>
          <w:b/>
          <w:bCs/>
          <w:sz w:val="24"/>
        </w:rPr>
      </w:pPr>
    </w:p>
    <w:p>
      <w:pPr>
        <w:spacing w:line="360" w:lineRule="auto"/>
        <w:jc w:val="center"/>
        <w:rPr>
          <w:rFonts w:ascii="宋体" w:hAnsi="宋体" w:cs="宋体"/>
          <w:sz w:val="24"/>
        </w:rPr>
      </w:pPr>
      <w:r>
        <w:rPr>
          <w:rFonts w:hint="eastAsia" w:ascii="宋体" w:hAnsi="宋体" w:cs="宋体"/>
          <w:sz w:val="24"/>
        </w:rPr>
        <w:t>供应商遵守招标采购纪律承诺书</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致四川省妇幼保健院：</w:t>
      </w:r>
    </w:p>
    <w:p>
      <w:pPr>
        <w:spacing w:line="360" w:lineRule="auto"/>
        <w:ind w:firstLine="480" w:firstLineChars="200"/>
        <w:rPr>
          <w:rFonts w:ascii="宋体" w:hAnsi="宋体" w:cs="宋体"/>
          <w:sz w:val="24"/>
        </w:rPr>
      </w:pPr>
      <w:r>
        <w:rPr>
          <w:rFonts w:hint="eastAsia" w:ascii="宋体" w:hAnsi="宋体" w:cs="宋体"/>
          <w:sz w:val="24"/>
        </w:rPr>
        <w:t>我单位作为本次采购项目的供应商，根据响应文件要求，现郑重承诺如下：</w:t>
      </w:r>
    </w:p>
    <w:p>
      <w:pPr>
        <w:spacing w:line="360" w:lineRule="auto"/>
        <w:rPr>
          <w:rFonts w:ascii="宋体" w:hAnsi="宋体" w:cs="宋体"/>
          <w:sz w:val="24"/>
        </w:rPr>
      </w:pPr>
      <w:r>
        <w:rPr>
          <w:rFonts w:hint="eastAsia" w:ascii="宋体" w:hAnsi="宋体" w:cs="宋体"/>
          <w:sz w:val="24"/>
        </w:rPr>
        <w:t>一、参加本次采购活动，我单位不存在与单位负责人为同一人或者存在直接控股、管理关系的其他供应商参与同一合同项下的采购活动的行为。</w:t>
      </w:r>
    </w:p>
    <w:p>
      <w:pPr>
        <w:spacing w:line="360" w:lineRule="auto"/>
        <w:rPr>
          <w:rFonts w:ascii="宋体" w:hAnsi="宋体" w:cs="宋体"/>
          <w:sz w:val="24"/>
        </w:rPr>
      </w:pPr>
      <w:r>
        <w:rPr>
          <w:rFonts w:hint="eastAsia" w:ascii="宋体" w:hAnsi="宋体" w:cs="宋体"/>
          <w:sz w:val="24"/>
        </w:rPr>
        <w:t>二、参加本次采购活动，不得直接或者间接从采购人或者采购代理机构处获得其他供应商的相关情况并修改其投标文件或者响应文件。</w:t>
      </w:r>
    </w:p>
    <w:p>
      <w:pPr>
        <w:spacing w:line="360" w:lineRule="auto"/>
        <w:rPr>
          <w:rFonts w:ascii="宋体" w:hAnsi="宋体" w:cs="宋体"/>
          <w:sz w:val="24"/>
        </w:rPr>
      </w:pPr>
      <w:r>
        <w:rPr>
          <w:rFonts w:hint="eastAsia" w:ascii="宋体" w:hAnsi="宋体" w:cs="宋体"/>
          <w:sz w:val="24"/>
        </w:rPr>
        <w:t>三、参加本次采购活动，不得按照采购人的授意撤换、修改投标文件或者响应文件。</w:t>
      </w:r>
    </w:p>
    <w:p>
      <w:pPr>
        <w:spacing w:line="360" w:lineRule="auto"/>
        <w:rPr>
          <w:rFonts w:ascii="宋体" w:hAnsi="宋体" w:cs="宋体"/>
          <w:sz w:val="24"/>
        </w:rPr>
      </w:pPr>
      <w:r>
        <w:rPr>
          <w:rFonts w:hint="eastAsia" w:ascii="宋体" w:hAnsi="宋体" w:cs="宋体"/>
          <w:sz w:val="24"/>
        </w:rPr>
        <w:t>四、参加本次采购活动，不得和本次采购供应商之间协商报价、技术方案等投标文件或者响应文件的实质性内容。</w:t>
      </w:r>
    </w:p>
    <w:p>
      <w:pPr>
        <w:spacing w:line="360" w:lineRule="auto"/>
        <w:rPr>
          <w:rFonts w:ascii="宋体" w:hAnsi="宋体" w:cs="宋体"/>
          <w:sz w:val="24"/>
        </w:rPr>
      </w:pPr>
      <w:r>
        <w:rPr>
          <w:rFonts w:hint="eastAsia" w:ascii="宋体" w:hAnsi="宋体" w:cs="宋体"/>
          <w:sz w:val="24"/>
        </w:rPr>
        <w:t>五、本次采购活动中，不存在属于同一集团、协会、商会等组织成员的供应商按照该组织要求协同参加本次采购活动。</w:t>
      </w:r>
    </w:p>
    <w:p>
      <w:pPr>
        <w:spacing w:line="360" w:lineRule="auto"/>
        <w:rPr>
          <w:rFonts w:ascii="宋体" w:hAnsi="宋体" w:cs="宋体"/>
          <w:sz w:val="24"/>
        </w:rPr>
      </w:pPr>
      <w:r>
        <w:rPr>
          <w:rFonts w:hint="eastAsia" w:ascii="宋体" w:hAnsi="宋体" w:cs="宋体"/>
          <w:sz w:val="24"/>
        </w:rPr>
        <w:t>六、参加本次采购活动，不存在与其他供应商之间事先约定由某一特定供应商中标、成交。</w:t>
      </w:r>
    </w:p>
    <w:p>
      <w:pPr>
        <w:spacing w:line="360" w:lineRule="auto"/>
        <w:rPr>
          <w:rFonts w:ascii="宋体" w:hAnsi="宋体" w:cs="宋体"/>
          <w:sz w:val="24"/>
        </w:rPr>
      </w:pPr>
      <w:r>
        <w:rPr>
          <w:rFonts w:hint="eastAsia" w:ascii="宋体" w:hAnsi="宋体" w:cs="宋体"/>
          <w:sz w:val="24"/>
        </w:rPr>
        <w:t>七、参加本次采购活动，不存在与其他供应商商定部分供应商放弃参加采购活动或者放弃中标、成交。</w:t>
      </w:r>
    </w:p>
    <w:p>
      <w:pPr>
        <w:spacing w:line="360" w:lineRule="auto"/>
        <w:rPr>
          <w:rFonts w:ascii="宋体" w:hAnsi="宋体" w:cs="宋体"/>
          <w:sz w:val="24"/>
        </w:rPr>
      </w:pPr>
      <w:r>
        <w:rPr>
          <w:rFonts w:hint="eastAsia" w:ascii="宋体" w:hAnsi="宋体" w:cs="宋体"/>
          <w:sz w:val="24"/>
        </w:rPr>
        <w:t>八、参加本次采购活动，不存在我单位的投标文件或者响应文件由其他参与本项目的单位或个人编制或委托办理投标事宜。</w:t>
      </w:r>
    </w:p>
    <w:p>
      <w:pPr>
        <w:spacing w:line="360" w:lineRule="auto"/>
        <w:rPr>
          <w:rFonts w:ascii="宋体" w:hAnsi="宋体" w:cs="宋体"/>
          <w:sz w:val="24"/>
        </w:rPr>
      </w:pPr>
      <w:r>
        <w:rPr>
          <w:rFonts w:hint="eastAsia" w:ascii="宋体" w:hAnsi="宋体" w:cs="宋体"/>
          <w:sz w:val="24"/>
        </w:rPr>
        <w:t>九、参加本次采购活动，不存在我单位与采购人之间、供应商相互之间，为谋求特定供应商中标、成交或者排斥其他供应商的其他串通行为。</w:t>
      </w:r>
    </w:p>
    <w:p>
      <w:pPr>
        <w:spacing w:line="360" w:lineRule="auto"/>
        <w:rPr>
          <w:rFonts w:ascii="宋体" w:hAnsi="宋体" w:cs="宋体"/>
          <w:sz w:val="24"/>
        </w:rPr>
      </w:pPr>
      <w:r>
        <w:rPr>
          <w:rFonts w:hint="eastAsia" w:ascii="宋体" w:hAnsi="宋体" w:cs="宋体"/>
          <w:sz w:val="24"/>
        </w:rPr>
        <w:t>十、与我方存在直接控股关系的单位为：XXX；存在管理关系单位为：XXX。</w:t>
      </w:r>
    </w:p>
    <w:p>
      <w:pPr>
        <w:spacing w:line="360" w:lineRule="auto"/>
        <w:rPr>
          <w:rFonts w:ascii="宋体" w:hAnsi="宋体" w:cs="宋体"/>
          <w:sz w:val="24"/>
        </w:rPr>
      </w:pPr>
      <w:r>
        <w:rPr>
          <w:rFonts w:hint="eastAsia" w:ascii="宋体" w:hAnsi="宋体" w:cs="宋体"/>
          <w:sz w:val="24"/>
        </w:rPr>
        <w:t>我单位对上述承诺的内容事项真实性负责并接受评审小组对我单位投标文件或者响应文件关于串通投标的审查。如经查实上述承诺的内容事项存在虚假，我单位愿意接受以提供虚假材料谋取成交追究法律责任。</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 xml:space="preserve">供应商名称（单位公章）：                          </w:t>
      </w:r>
    </w:p>
    <w:p>
      <w:pPr>
        <w:spacing w:line="360" w:lineRule="auto"/>
        <w:rPr>
          <w:rFonts w:ascii="宋体" w:hAnsi="宋体" w:cs="宋体"/>
          <w:sz w:val="24"/>
        </w:rPr>
      </w:pPr>
      <w:r>
        <w:rPr>
          <w:rFonts w:hint="eastAsia" w:ascii="宋体" w:hAnsi="宋体" w:cs="宋体"/>
          <w:sz w:val="24"/>
        </w:rPr>
        <w:t>法定代表人/单位负责人或授权代表（签字或加盖个人名章）：</w:t>
      </w:r>
    </w:p>
    <w:p>
      <w:pPr>
        <w:spacing w:line="360" w:lineRule="auto"/>
        <w:ind w:firstLine="6240" w:firstLineChars="2600"/>
        <w:jc w:val="left"/>
        <w:rPr>
          <w:rFonts w:ascii="宋体" w:hAnsi="宋体" w:cs="宋体"/>
          <w:sz w:val="24"/>
        </w:rPr>
      </w:pPr>
      <w:r>
        <w:rPr>
          <w:rFonts w:hint="eastAsia" w:ascii="宋体" w:hAnsi="宋体" w:cs="宋体"/>
          <w:sz w:val="24"/>
        </w:rPr>
        <w:t>年 月 日</w:t>
      </w:r>
    </w:p>
    <w:p>
      <w:pPr>
        <w:pStyle w:val="4"/>
        <w:rPr>
          <w:rFonts w:ascii="宋体" w:hAnsi="宋体" w:cs="宋体"/>
          <w:sz w:val="24"/>
          <w:szCs w:val="24"/>
        </w:rPr>
      </w:pPr>
    </w:p>
    <w:p>
      <w:pPr>
        <w:snapToGrid w:val="0"/>
        <w:spacing w:line="360" w:lineRule="auto"/>
        <w:textAlignment w:val="baseline"/>
        <w:rPr>
          <w:rFonts w:ascii="宋体" w:hAnsi="宋体" w:cs="宋体"/>
          <w:b/>
          <w:bCs/>
          <w:sz w:val="24"/>
        </w:rPr>
      </w:pPr>
    </w:p>
    <w:p>
      <w:pPr>
        <w:spacing w:line="360" w:lineRule="auto"/>
        <w:ind w:firstLine="6240" w:firstLineChars="2600"/>
        <w:jc w:val="left"/>
        <w:rPr>
          <w:rFonts w:ascii="宋体" w:hAnsi="宋体" w:cs="宋体"/>
          <w:sz w:val="24"/>
        </w:rPr>
      </w:pPr>
    </w:p>
    <w:p>
      <w:pPr>
        <w:rPr>
          <w:rFonts w:ascii="宋体" w:hAnsi="宋体" w:cs="宋体"/>
          <w:sz w:val="24"/>
        </w:rPr>
      </w:pPr>
    </w:p>
    <w:sectPr>
      <w:pgSz w:w="11906" w:h="16838"/>
      <w:pgMar w:top="1134" w:right="1417"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4BE70B"/>
    <w:multiLevelType w:val="singleLevel"/>
    <w:tmpl w:val="9B4BE70B"/>
    <w:lvl w:ilvl="0" w:tentative="0">
      <w:start w:val="1"/>
      <w:numFmt w:val="decimal"/>
      <w:lvlText w:val="%1."/>
      <w:lvlJc w:val="left"/>
      <w:pPr>
        <w:ind w:left="425" w:hanging="425"/>
      </w:pPr>
      <w:rPr>
        <w:rFonts w:hint="default"/>
      </w:rPr>
    </w:lvl>
  </w:abstractNum>
  <w:abstractNum w:abstractNumId="1">
    <w:nsid w:val="A3F2F48B"/>
    <w:multiLevelType w:val="singleLevel"/>
    <w:tmpl w:val="A3F2F48B"/>
    <w:lvl w:ilvl="0" w:tentative="0">
      <w:start w:val="1"/>
      <w:numFmt w:val="bullet"/>
      <w:lvlText w:val=""/>
      <w:lvlJc w:val="left"/>
      <w:pPr>
        <w:ind w:left="420" w:hanging="420"/>
      </w:pPr>
      <w:rPr>
        <w:rFonts w:hint="default" w:ascii="Wingdings" w:hAnsi="Wingdings"/>
        <w:b/>
        <w:bCs/>
        <w:color w:val="auto"/>
      </w:rPr>
    </w:lvl>
  </w:abstractNum>
  <w:abstractNum w:abstractNumId="2">
    <w:nsid w:val="E66A6062"/>
    <w:multiLevelType w:val="singleLevel"/>
    <w:tmpl w:val="E66A6062"/>
    <w:lvl w:ilvl="0" w:tentative="0">
      <w:start w:val="1"/>
      <w:numFmt w:val="decimal"/>
      <w:lvlText w:val="%1."/>
      <w:lvlJc w:val="left"/>
      <w:pPr>
        <w:tabs>
          <w:tab w:val="left" w:pos="312"/>
        </w:tabs>
      </w:pPr>
    </w:lvl>
  </w:abstractNum>
  <w:abstractNum w:abstractNumId="3">
    <w:nsid w:val="38513304"/>
    <w:multiLevelType w:val="multilevel"/>
    <w:tmpl w:val="38513304"/>
    <w:lvl w:ilvl="0" w:tentative="0">
      <w:start w:val="3"/>
      <w:numFmt w:val="bullet"/>
      <w:lvlText w:val="★"/>
      <w:lvlJc w:val="left"/>
      <w:pPr>
        <w:tabs>
          <w:tab w:val="left" w:pos="480"/>
        </w:tabs>
        <w:ind w:left="480" w:hanging="360"/>
      </w:pPr>
      <w:rPr>
        <w:rFonts w:hint="eastAsia" w:ascii="宋体" w:hAnsi="宋体" w:eastAsia="宋体" w:cs="Times New Roman"/>
      </w:rPr>
    </w:lvl>
    <w:lvl w:ilvl="1" w:tentative="0">
      <w:start w:val="1"/>
      <w:numFmt w:val="bullet"/>
      <w:lvlText w:val=""/>
      <w:lvlJc w:val="left"/>
      <w:pPr>
        <w:tabs>
          <w:tab w:val="left" w:pos="960"/>
        </w:tabs>
        <w:ind w:left="960" w:hanging="420"/>
      </w:pPr>
      <w:rPr>
        <w:rFonts w:hint="default" w:ascii="Wingdings" w:hAnsi="Wingdings"/>
      </w:rPr>
    </w:lvl>
    <w:lvl w:ilvl="2" w:tentative="0">
      <w:start w:val="1"/>
      <w:numFmt w:val="bullet"/>
      <w:lvlText w:val=""/>
      <w:lvlJc w:val="left"/>
      <w:pPr>
        <w:tabs>
          <w:tab w:val="left" w:pos="1380"/>
        </w:tabs>
        <w:ind w:left="1380" w:hanging="420"/>
      </w:pPr>
      <w:rPr>
        <w:rFonts w:hint="default" w:ascii="Wingdings" w:hAnsi="Wingdings"/>
      </w:rPr>
    </w:lvl>
    <w:lvl w:ilvl="3" w:tentative="0">
      <w:start w:val="1"/>
      <w:numFmt w:val="bullet"/>
      <w:lvlText w:val=""/>
      <w:lvlJc w:val="left"/>
      <w:pPr>
        <w:tabs>
          <w:tab w:val="left" w:pos="1800"/>
        </w:tabs>
        <w:ind w:left="1800" w:hanging="420"/>
      </w:pPr>
      <w:rPr>
        <w:rFonts w:hint="default" w:ascii="Wingdings" w:hAnsi="Wingdings"/>
      </w:rPr>
    </w:lvl>
    <w:lvl w:ilvl="4" w:tentative="0">
      <w:start w:val="1"/>
      <w:numFmt w:val="bullet"/>
      <w:lvlText w:val=""/>
      <w:lvlJc w:val="left"/>
      <w:pPr>
        <w:tabs>
          <w:tab w:val="left" w:pos="2220"/>
        </w:tabs>
        <w:ind w:left="2220" w:hanging="420"/>
      </w:pPr>
      <w:rPr>
        <w:rFonts w:hint="default" w:ascii="Wingdings" w:hAnsi="Wingdings"/>
      </w:rPr>
    </w:lvl>
    <w:lvl w:ilvl="5" w:tentative="0">
      <w:start w:val="1"/>
      <w:numFmt w:val="bullet"/>
      <w:lvlText w:val=""/>
      <w:lvlJc w:val="left"/>
      <w:pPr>
        <w:tabs>
          <w:tab w:val="left" w:pos="2640"/>
        </w:tabs>
        <w:ind w:left="2640" w:hanging="420"/>
      </w:pPr>
      <w:rPr>
        <w:rFonts w:hint="default" w:ascii="Wingdings" w:hAnsi="Wingdings"/>
      </w:rPr>
    </w:lvl>
    <w:lvl w:ilvl="6" w:tentative="0">
      <w:start w:val="1"/>
      <w:numFmt w:val="bullet"/>
      <w:lvlText w:val=""/>
      <w:lvlJc w:val="left"/>
      <w:pPr>
        <w:tabs>
          <w:tab w:val="left" w:pos="3060"/>
        </w:tabs>
        <w:ind w:left="3060" w:hanging="420"/>
      </w:pPr>
      <w:rPr>
        <w:rFonts w:hint="default" w:ascii="Wingdings" w:hAnsi="Wingdings"/>
      </w:rPr>
    </w:lvl>
    <w:lvl w:ilvl="7" w:tentative="0">
      <w:start w:val="1"/>
      <w:numFmt w:val="bullet"/>
      <w:lvlText w:val=""/>
      <w:lvlJc w:val="left"/>
      <w:pPr>
        <w:tabs>
          <w:tab w:val="left" w:pos="3480"/>
        </w:tabs>
        <w:ind w:left="3480" w:hanging="420"/>
      </w:pPr>
      <w:rPr>
        <w:rFonts w:hint="default" w:ascii="Wingdings" w:hAnsi="Wingdings"/>
      </w:rPr>
    </w:lvl>
    <w:lvl w:ilvl="8" w:tentative="0">
      <w:start w:val="1"/>
      <w:numFmt w:val="bullet"/>
      <w:lvlText w:val=""/>
      <w:lvlJc w:val="left"/>
      <w:pPr>
        <w:tabs>
          <w:tab w:val="left" w:pos="3900"/>
        </w:tabs>
        <w:ind w:left="3900" w:hanging="42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cwZmE0ZmU3Y2M1ZWQ5MWU4OTc0ZDQ0OGMzYzM2NmMifQ=="/>
  </w:docVars>
  <w:rsids>
    <w:rsidRoot w:val="5244176A"/>
    <w:rsid w:val="00051017"/>
    <w:rsid w:val="000E4202"/>
    <w:rsid w:val="001747B4"/>
    <w:rsid w:val="00984987"/>
    <w:rsid w:val="00AF68ED"/>
    <w:rsid w:val="01582E9F"/>
    <w:rsid w:val="022561DB"/>
    <w:rsid w:val="024B5F91"/>
    <w:rsid w:val="02E53A75"/>
    <w:rsid w:val="0423435A"/>
    <w:rsid w:val="04C176DC"/>
    <w:rsid w:val="05CD03BE"/>
    <w:rsid w:val="07AF5FEE"/>
    <w:rsid w:val="0A277760"/>
    <w:rsid w:val="0ACF324E"/>
    <w:rsid w:val="0B565E48"/>
    <w:rsid w:val="0CE1020E"/>
    <w:rsid w:val="0CFF59E2"/>
    <w:rsid w:val="0D272843"/>
    <w:rsid w:val="0F4628CF"/>
    <w:rsid w:val="0F71729A"/>
    <w:rsid w:val="0F914A2F"/>
    <w:rsid w:val="0FD4292A"/>
    <w:rsid w:val="10863CAA"/>
    <w:rsid w:val="109819C6"/>
    <w:rsid w:val="112F7D4C"/>
    <w:rsid w:val="129243DD"/>
    <w:rsid w:val="12BB52A2"/>
    <w:rsid w:val="132F6187"/>
    <w:rsid w:val="13E76168"/>
    <w:rsid w:val="15855BCE"/>
    <w:rsid w:val="16795C6E"/>
    <w:rsid w:val="177F6166"/>
    <w:rsid w:val="192B394B"/>
    <w:rsid w:val="1A8B0593"/>
    <w:rsid w:val="1C151423"/>
    <w:rsid w:val="1C962C76"/>
    <w:rsid w:val="1D7B096A"/>
    <w:rsid w:val="1D7D134A"/>
    <w:rsid w:val="1E9514A0"/>
    <w:rsid w:val="1FD72787"/>
    <w:rsid w:val="20AF2A2B"/>
    <w:rsid w:val="20D12B0B"/>
    <w:rsid w:val="20EF1296"/>
    <w:rsid w:val="2161289E"/>
    <w:rsid w:val="21690F5F"/>
    <w:rsid w:val="231A50A3"/>
    <w:rsid w:val="23305048"/>
    <w:rsid w:val="2487307B"/>
    <w:rsid w:val="25101CDA"/>
    <w:rsid w:val="2559103D"/>
    <w:rsid w:val="25685003"/>
    <w:rsid w:val="256C23F4"/>
    <w:rsid w:val="25C97BEE"/>
    <w:rsid w:val="26E41B28"/>
    <w:rsid w:val="281955CF"/>
    <w:rsid w:val="29266E1A"/>
    <w:rsid w:val="2A044599"/>
    <w:rsid w:val="2A0F7B8F"/>
    <w:rsid w:val="2A746FDD"/>
    <w:rsid w:val="2B05240B"/>
    <w:rsid w:val="2BF4266B"/>
    <w:rsid w:val="2CB371D5"/>
    <w:rsid w:val="2CF3776A"/>
    <w:rsid w:val="2D611200"/>
    <w:rsid w:val="2D7F4851"/>
    <w:rsid w:val="2EE46348"/>
    <w:rsid w:val="30806B9E"/>
    <w:rsid w:val="30B43B75"/>
    <w:rsid w:val="31650772"/>
    <w:rsid w:val="31E9143D"/>
    <w:rsid w:val="34BE33D7"/>
    <w:rsid w:val="35B83942"/>
    <w:rsid w:val="361A126B"/>
    <w:rsid w:val="36545D30"/>
    <w:rsid w:val="36BF0CFE"/>
    <w:rsid w:val="37671CCB"/>
    <w:rsid w:val="383D10D3"/>
    <w:rsid w:val="39A43E9E"/>
    <w:rsid w:val="3BC10995"/>
    <w:rsid w:val="3BDD1C9A"/>
    <w:rsid w:val="3C6234CA"/>
    <w:rsid w:val="3D5123A5"/>
    <w:rsid w:val="3E3C3D7F"/>
    <w:rsid w:val="3F0F3FAB"/>
    <w:rsid w:val="3F3D74FE"/>
    <w:rsid w:val="3FBC281F"/>
    <w:rsid w:val="432A1B18"/>
    <w:rsid w:val="43E06BC0"/>
    <w:rsid w:val="450B6A83"/>
    <w:rsid w:val="4537221B"/>
    <w:rsid w:val="476723D0"/>
    <w:rsid w:val="47947AFC"/>
    <w:rsid w:val="4AF20173"/>
    <w:rsid w:val="4B0C6E2E"/>
    <w:rsid w:val="4BAE772A"/>
    <w:rsid w:val="4BB17333"/>
    <w:rsid w:val="4C4A7B3B"/>
    <w:rsid w:val="4C8B4D21"/>
    <w:rsid w:val="4CEA1A71"/>
    <w:rsid w:val="4CF44F18"/>
    <w:rsid w:val="4DC24D9D"/>
    <w:rsid w:val="4DC3281F"/>
    <w:rsid w:val="50066CA3"/>
    <w:rsid w:val="518B59E0"/>
    <w:rsid w:val="5244176A"/>
    <w:rsid w:val="52622C38"/>
    <w:rsid w:val="541532F3"/>
    <w:rsid w:val="544669FD"/>
    <w:rsid w:val="54563E63"/>
    <w:rsid w:val="54F21968"/>
    <w:rsid w:val="550310E3"/>
    <w:rsid w:val="550657A7"/>
    <w:rsid w:val="55BB16B6"/>
    <w:rsid w:val="574F6249"/>
    <w:rsid w:val="57AD74C8"/>
    <w:rsid w:val="58071A1F"/>
    <w:rsid w:val="589C327E"/>
    <w:rsid w:val="599B1691"/>
    <w:rsid w:val="5D774E64"/>
    <w:rsid w:val="5F006EEA"/>
    <w:rsid w:val="606964BC"/>
    <w:rsid w:val="616E24E6"/>
    <w:rsid w:val="62312A9D"/>
    <w:rsid w:val="63545F00"/>
    <w:rsid w:val="635C21B5"/>
    <w:rsid w:val="66C7589F"/>
    <w:rsid w:val="6841159B"/>
    <w:rsid w:val="68822004"/>
    <w:rsid w:val="6B405AFC"/>
    <w:rsid w:val="6BD8207B"/>
    <w:rsid w:val="6C8C2E23"/>
    <w:rsid w:val="6CA17546"/>
    <w:rsid w:val="6F7F20D5"/>
    <w:rsid w:val="71D8190B"/>
    <w:rsid w:val="72F06D27"/>
    <w:rsid w:val="7328385A"/>
    <w:rsid w:val="739065EB"/>
    <w:rsid w:val="73DF11F6"/>
    <w:rsid w:val="73F26EC8"/>
    <w:rsid w:val="74410750"/>
    <w:rsid w:val="75F21E91"/>
    <w:rsid w:val="76880984"/>
    <w:rsid w:val="77E2713E"/>
    <w:rsid w:val="78A07BDA"/>
    <w:rsid w:val="78B64B97"/>
    <w:rsid w:val="7B5209E2"/>
    <w:rsid w:val="7BA577E9"/>
    <w:rsid w:val="7C6543A4"/>
    <w:rsid w:val="7D1A2BCE"/>
    <w:rsid w:val="7D512D27"/>
    <w:rsid w:val="7E345685"/>
    <w:rsid w:val="7E6D0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4"/>
    <w:qFormat/>
    <w:uiPriority w:val="0"/>
  </w:style>
  <w:style w:type="paragraph" w:styleId="4">
    <w:name w:val="Body Text First Indent 2"/>
    <w:basedOn w:val="5"/>
    <w:qFormat/>
    <w:uiPriority w:val="0"/>
    <w:pPr>
      <w:ind w:firstLine="420"/>
    </w:pPr>
  </w:style>
  <w:style w:type="paragraph" w:styleId="5">
    <w:name w:val="Body Text Indent"/>
    <w:basedOn w:val="1"/>
    <w:qFormat/>
    <w:uiPriority w:val="0"/>
    <w:pPr>
      <w:ind w:firstLine="630"/>
    </w:pPr>
    <w:rPr>
      <w:sz w:val="32"/>
      <w:szCs w:val="20"/>
    </w:rPr>
  </w:style>
  <w:style w:type="paragraph" w:styleId="6">
    <w:name w:val="Plain Text"/>
    <w:basedOn w:val="1"/>
    <w:qFormat/>
    <w:uiPriority w:val="0"/>
    <w:pPr>
      <w:spacing w:line="460" w:lineRule="exact"/>
      <w:ind w:firstLine="567"/>
    </w:pPr>
    <w:rPr>
      <w:rFonts w:ascii="宋体" w:hAnsi="Courier New" w:eastAsia="仿宋_GB2312"/>
      <w:sz w:val="28"/>
      <w:szCs w:val="20"/>
    </w:rPr>
  </w:style>
  <w:style w:type="paragraph" w:styleId="7">
    <w:name w:val="toc 1"/>
    <w:basedOn w:val="1"/>
    <w:next w:val="1"/>
    <w:qFormat/>
    <w:uiPriority w:val="0"/>
    <w:pPr>
      <w:spacing w:line="180" w:lineRule="auto"/>
      <w:jc w:val="center"/>
    </w:pPr>
    <w:rPr>
      <w:sz w:val="30"/>
    </w:rPr>
  </w:style>
  <w:style w:type="paragraph" w:styleId="8">
    <w:name w:val="footnote text"/>
    <w:basedOn w:val="1"/>
    <w:qFormat/>
    <w:uiPriority w:val="99"/>
    <w:pPr>
      <w:snapToGrid w:val="0"/>
      <w:jc w:val="left"/>
    </w:pPr>
    <w:rPr>
      <w:rFonts w:ascii="宋体" w:hAnsi="Times New Roman"/>
      <w:kern w:val="0"/>
      <w:sz w:val="18"/>
      <w:szCs w:val="18"/>
    </w:rPr>
  </w:style>
  <w:style w:type="paragraph" w:styleId="9">
    <w:name w:val="Normal (Web)"/>
    <w:basedOn w:val="1"/>
    <w:qFormat/>
    <w:uiPriority w:val="0"/>
    <w:pPr>
      <w:spacing w:before="100" w:beforeAutospacing="1" w:after="100" w:afterAutospacing="1"/>
      <w:jc w:val="left"/>
    </w:pPr>
    <w:rPr>
      <w:kern w:val="0"/>
      <w:sz w:val="24"/>
    </w:rPr>
  </w:style>
  <w:style w:type="paragraph" w:customStyle="1" w:styleId="12">
    <w:name w:val="样式 9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
    <w:name w:val="GW-正文"/>
    <w:basedOn w:val="1"/>
    <w:qFormat/>
    <w:uiPriority w:val="0"/>
    <w:pPr>
      <w:spacing w:line="360" w:lineRule="auto"/>
      <w:ind w:firstLine="200" w:firstLineChars="200"/>
    </w:pPr>
    <w:rPr>
      <w:rFonts w:eastAsia="仿宋_GB2312"/>
      <w:sz w:val="24"/>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
    <w:name w:val="_Style 3"/>
    <w:basedOn w:val="1"/>
    <w:qFormat/>
    <w:uiPriority w:val="0"/>
    <w:pPr>
      <w:ind w:firstLine="420" w:firstLineChars="200"/>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1918</Words>
  <Characters>10936</Characters>
  <Lines>91</Lines>
  <Paragraphs>25</Paragraphs>
  <TotalTime>5</TotalTime>
  <ScaleCrop>false</ScaleCrop>
  <LinksUpToDate>false</LinksUpToDate>
  <CharactersWithSpaces>12829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2023-12-22T01:06:00Z</dcterms:created>
  <dc:creator>罗珊珊</dc:creator>
  <cp:lastModifiedBy>罗珊珊</cp:lastModifiedBy>
  <dcterms:modified xsi:type="dcterms:W3CDTF">2023-12-22T10:25:19Z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796B92C70F0F4764B01F0098AFD1D00F_12</vt:lpwstr>
  </property>
</Properties>
</file>