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276" w:lineRule="auto"/>
        <w:jc w:val="left"/>
        <w:rPr>
          <w:rFonts w:cs="Segoe UI" w:asciiTheme="minorEastAsia" w:hAnsiTheme="minorEastAsia"/>
          <w:b/>
          <w:color w:val="333333"/>
          <w:kern w:val="0"/>
          <w:sz w:val="30"/>
          <w:szCs w:val="30"/>
        </w:rPr>
      </w:pPr>
      <w:r>
        <w:rPr>
          <w:rFonts w:hint="eastAsia" w:cs="Segoe UI" w:asciiTheme="minorEastAsia" w:hAnsiTheme="minorEastAsia"/>
          <w:b/>
          <w:color w:val="333333"/>
          <w:kern w:val="0"/>
          <w:sz w:val="30"/>
          <w:szCs w:val="30"/>
        </w:rPr>
        <w:t>附件1:采购项目要求</w:t>
      </w:r>
    </w:p>
    <w:p>
      <w:pPr>
        <w:pStyle w:val="3"/>
        <w:numPr>
          <w:ilvl w:val="0"/>
          <w:numId w:val="2"/>
        </w:numPr>
        <w:spacing w:line="276" w:lineRule="auto"/>
        <w:ind w:firstLine="236" w:firstLineChars="98"/>
        <w:rPr>
          <w:rFonts w:hint="eastAsia" w:asciiTheme="minorEastAsia" w:hAnsiTheme="minorEastAsia" w:eastAsiaTheme="minorEastAsia" w:cstheme="minorEastAsia"/>
          <w:sz w:val="24"/>
          <w:szCs w:val="24"/>
        </w:rPr>
      </w:pPr>
      <w:r>
        <w:rPr>
          <w:rFonts w:hint="eastAsia" w:ascii="宋体" w:hAnsi="宋体" w:eastAsia="宋体" w:cs="宋体"/>
          <w:b/>
          <w:bCs/>
          <w:color w:val="auto"/>
          <w:sz w:val="24"/>
          <w:szCs w:val="24"/>
          <w:highlight w:val="none"/>
          <w:lang w:val="en-US" w:eastAsia="zh-CN"/>
        </w:rPr>
        <w:t>检定校准清单及单价限价</w:t>
      </w:r>
      <w:r>
        <w:rPr>
          <w:rFonts w:hint="eastAsia" w:asciiTheme="minorEastAsia" w:hAnsiTheme="minorEastAsia" w:eastAsiaTheme="minorEastAsia" w:cstheme="minorEastAsia"/>
          <w:sz w:val="24"/>
          <w:szCs w:val="24"/>
        </w:rPr>
        <w:t>：</w:t>
      </w:r>
    </w:p>
    <w:tbl>
      <w:tblPr>
        <w:tblStyle w:val="11"/>
        <w:tblW w:w="5073" w:type="pct"/>
        <w:tblInd w:w="0" w:type="dxa"/>
        <w:tblLayout w:type="autofit"/>
        <w:tblCellMar>
          <w:top w:w="0" w:type="dxa"/>
          <w:left w:w="0" w:type="dxa"/>
          <w:bottom w:w="0" w:type="dxa"/>
          <w:right w:w="0" w:type="dxa"/>
        </w:tblCellMar>
      </w:tblPr>
      <w:tblGrid>
        <w:gridCol w:w="1134"/>
        <w:gridCol w:w="5135"/>
        <w:gridCol w:w="2189"/>
      </w:tblGrid>
      <w:tr>
        <w:tblPrEx>
          <w:tblCellMar>
            <w:top w:w="0" w:type="dxa"/>
            <w:left w:w="0" w:type="dxa"/>
            <w:bottom w:w="0" w:type="dxa"/>
            <w:right w:w="0" w:type="dxa"/>
          </w:tblCellMar>
        </w:tblPrEx>
        <w:trPr>
          <w:trHeight w:val="386"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序号</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检定项目</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单价限价（元</w:t>
            </w:r>
            <w:r>
              <w:rPr>
                <w:rFonts w:hint="eastAsia" w:ascii="宋体" w:hAnsi="宋体" w:eastAsia="宋体" w:cs="宋体"/>
                <w:b/>
                <w:color w:val="auto"/>
                <w:kern w:val="0"/>
                <w:sz w:val="24"/>
                <w:szCs w:val="24"/>
                <w:highlight w:val="none"/>
                <w:lang w:val="en-US" w:eastAsia="zh-CN" w:bidi="ar"/>
              </w:rPr>
              <w:t>/台</w:t>
            </w:r>
            <w:r>
              <w:rPr>
                <w:rFonts w:hint="eastAsia" w:ascii="宋体" w:hAnsi="宋体" w:eastAsia="宋体" w:cs="宋体"/>
                <w:b/>
                <w:color w:val="auto"/>
                <w:kern w:val="0"/>
                <w:sz w:val="24"/>
                <w:szCs w:val="24"/>
                <w:highlight w:val="none"/>
                <w:lang w:bidi="ar"/>
              </w:rPr>
              <w:t>）</w:t>
            </w:r>
          </w:p>
        </w:tc>
      </w:tr>
      <w:tr>
        <w:tblPrEx>
          <w:tblCellMar>
            <w:top w:w="0" w:type="dxa"/>
            <w:left w:w="0" w:type="dxa"/>
            <w:bottom w:w="0" w:type="dxa"/>
            <w:right w:w="0" w:type="dxa"/>
          </w:tblCellMar>
        </w:tblPrEx>
        <w:trPr>
          <w:trHeight w:val="366"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冰箱</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低温冰箱</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超低温冰箱</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超低温保存箱</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电热恒温培养箱</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隔水式恒温培养箱</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孵育箱</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冷藏冷冻柜</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冷藏冷冻箱</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冷冻冰箱</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立式低温保存箱</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立式冷藏柜</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13</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立式冷藏箱</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14</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低温冰柜</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15</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冷冻冰柜</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16</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冷冻冷藏箱</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17</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立式超低温保存箱</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18</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卧式冷藏柜</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19</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冷冻切片机</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20</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深低温冰箱</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21</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药品保存箱</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22</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医用低温保存箱</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23</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医用冷藏箱</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24</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转换型冷藏/冷冻箱</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25</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霉菌培养箱</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26</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CO2培养箱</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27</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尿液分析仪</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28</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全自动生化分析仪</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1220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29</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电热恒温振荡水槽</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30</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化浆机</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31</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电热恒温水浴箱</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32</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三用恒温水箱</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33</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生化培养箱</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34</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生物安全柜</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1500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35</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水浴锅</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36</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摇床</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37</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烘箱</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38</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灭菌器</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39</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电子体温计</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40</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冰箱温度计</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41</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数码双路温度计</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260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42</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温湿度记录仪</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43</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红外线测温仪</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44</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数显测温仪</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45</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数显温湿度表</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46</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温湿度表</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47</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数字温度计</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48</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智能温度采集器</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49</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电解质分析仪</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1400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50</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在线电导率仪</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51</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在线电阻率仪</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52</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自动定量灌装机</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53</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体重秤</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54</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电子体重秤</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180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55</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电子婴儿秤</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56</w:t>
            </w:r>
          </w:p>
        </w:tc>
        <w:tc>
          <w:tcPr>
            <w:tcW w:w="303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血细胞分析仪</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610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57</w:t>
            </w:r>
          </w:p>
        </w:tc>
        <w:tc>
          <w:tcPr>
            <w:tcW w:w="303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超声波体检机</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360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58</w:t>
            </w:r>
          </w:p>
        </w:tc>
        <w:tc>
          <w:tcPr>
            <w:tcW w:w="303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电子地中衡</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360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59</w:t>
            </w:r>
          </w:p>
        </w:tc>
        <w:tc>
          <w:tcPr>
            <w:tcW w:w="303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电子台秤</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180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60</w:t>
            </w:r>
          </w:p>
        </w:tc>
        <w:tc>
          <w:tcPr>
            <w:tcW w:w="303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台秤</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61</w:t>
            </w:r>
          </w:p>
        </w:tc>
        <w:tc>
          <w:tcPr>
            <w:tcW w:w="303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电子天平</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540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62</w:t>
            </w:r>
          </w:p>
        </w:tc>
        <w:tc>
          <w:tcPr>
            <w:tcW w:w="303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麻醉机</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2000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63</w:t>
            </w:r>
          </w:p>
        </w:tc>
        <w:tc>
          <w:tcPr>
            <w:tcW w:w="303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电动吸引器</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64</w:t>
            </w:r>
          </w:p>
        </w:tc>
        <w:tc>
          <w:tcPr>
            <w:tcW w:w="303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架盘天平</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65</w:t>
            </w:r>
          </w:p>
        </w:tc>
        <w:tc>
          <w:tcPr>
            <w:tcW w:w="303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托盘扭力天平</w:t>
            </w:r>
          </w:p>
        </w:tc>
        <w:tc>
          <w:tcPr>
            <w:tcW w:w="12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66</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原子荧光光度计</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680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67</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荧光分光光度计</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360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68</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紫外可见分光光度计</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69</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酸度计</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260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70</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液相色谱仪</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71</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液相色谱-质谱联用仪</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1500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72</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气相色谱</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73</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气相色谱质谱联用</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74</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可调移液器</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75</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定量移液器  </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100</w:t>
            </w:r>
          </w:p>
        </w:tc>
      </w:tr>
      <w:tr>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76</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移液器（8道）</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77</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瓶口分液器</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78</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离心机</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79</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酶标仪</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770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80</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显微镜</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81</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荧光显微镜</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82</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游标卡尺</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83</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分度吸量管</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84</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滴定管</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85</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量筒</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86</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浮标式氧气吸入器</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87</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中心供氧氧气吸入器</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88</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医用彩色多普勒超声诊断仪</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810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89</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医用超声诊断仪超声源</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810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90</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胎儿监护仪</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91</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除颤仪</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92</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注射泵（单通道）</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93</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注射泵（双通道）</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94</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输液泵</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95</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高频电刀</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96</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呼吸机</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97</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婴儿培养箱</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98</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血液透析机</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2000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99</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肺功能仪</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100</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医用激光源</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360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101</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核磁共振成像系统</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6000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102</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在线COD</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1500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103</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在线氨氮</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1500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104</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在线总磷、总氮</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1500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105</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一氧化碳</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520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106</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二氧化碳</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520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107</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电位滴定仪</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108</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ICP</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2000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109</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ICP-MS</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1500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110</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电导</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111</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溶解氧</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112</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原子吸收</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113</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旋光仪</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114</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水分仪</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115</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洗板机</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550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116</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高压灭菌器（压力部分）</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117</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高压灭菌器（安全阀）</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118</w:t>
            </w:r>
          </w:p>
        </w:tc>
        <w:tc>
          <w:tcPr>
            <w:tcW w:w="30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安全阀</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119</w:t>
            </w:r>
          </w:p>
        </w:tc>
        <w:tc>
          <w:tcPr>
            <w:tcW w:w="303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测听室</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3000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20</w:t>
            </w:r>
          </w:p>
        </w:tc>
        <w:tc>
          <w:tcPr>
            <w:tcW w:w="303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超声骨密度仪</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810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21</w:t>
            </w:r>
          </w:p>
        </w:tc>
        <w:tc>
          <w:tcPr>
            <w:tcW w:w="303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射线骨密度仪</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720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22</w:t>
            </w:r>
          </w:p>
        </w:tc>
        <w:tc>
          <w:tcPr>
            <w:tcW w:w="303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化学发光免疫分析仪</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2000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12</w:t>
            </w:r>
            <w:r>
              <w:rPr>
                <w:rFonts w:hint="eastAsia" w:ascii="宋体" w:hAnsi="宋体" w:eastAsia="宋体" w:cs="宋体"/>
                <w:color w:val="auto"/>
                <w:kern w:val="0"/>
                <w:sz w:val="24"/>
                <w:szCs w:val="24"/>
                <w:highlight w:val="none"/>
                <w:lang w:val="en-US" w:eastAsia="zh-CN" w:bidi="ar"/>
              </w:rPr>
              <w:t>3</w:t>
            </w:r>
          </w:p>
        </w:tc>
        <w:tc>
          <w:tcPr>
            <w:tcW w:w="303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PCR仪</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2500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24</w:t>
            </w:r>
          </w:p>
        </w:tc>
        <w:tc>
          <w:tcPr>
            <w:tcW w:w="303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核酸提取仪</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2000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25</w:t>
            </w:r>
          </w:p>
        </w:tc>
        <w:tc>
          <w:tcPr>
            <w:tcW w:w="303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清洗消毒机</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2000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26</w:t>
            </w:r>
          </w:p>
        </w:tc>
        <w:tc>
          <w:tcPr>
            <w:tcW w:w="303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脉动真空灭菌器</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4000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27</w:t>
            </w:r>
          </w:p>
        </w:tc>
        <w:tc>
          <w:tcPr>
            <w:tcW w:w="303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环氧乙烷灭菌器</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2000</w:t>
            </w:r>
          </w:p>
        </w:tc>
      </w:tr>
      <w:tr>
        <w:tblPrEx>
          <w:tblCellMar>
            <w:top w:w="0" w:type="dxa"/>
            <w:left w:w="0" w:type="dxa"/>
            <w:bottom w:w="0" w:type="dxa"/>
            <w:right w:w="0" w:type="dxa"/>
          </w:tblCellMar>
        </w:tblPrEx>
        <w:trPr>
          <w:trHeight w:val="113"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28</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酒精含量检测仪（检定）</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1300</w:t>
            </w:r>
          </w:p>
        </w:tc>
      </w:tr>
      <w:tr>
        <w:tblPrEx>
          <w:tblCellMar>
            <w:top w:w="0" w:type="dxa"/>
            <w:left w:w="0" w:type="dxa"/>
            <w:bottom w:w="0" w:type="dxa"/>
            <w:right w:w="0" w:type="dxa"/>
          </w:tblCellMar>
        </w:tblPrEx>
        <w:trPr>
          <w:trHeight w:val="139" w:hRule="atLeast"/>
        </w:trPr>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29</w:t>
            </w:r>
          </w:p>
        </w:tc>
        <w:tc>
          <w:tcPr>
            <w:tcW w:w="30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空盒气压表</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400</w:t>
            </w:r>
          </w:p>
        </w:tc>
      </w:tr>
      <w:tr>
        <w:tblPrEx>
          <w:tblCellMar>
            <w:top w:w="0" w:type="dxa"/>
            <w:left w:w="0" w:type="dxa"/>
            <w:bottom w:w="0" w:type="dxa"/>
            <w:right w:w="0" w:type="dxa"/>
          </w:tblCellMar>
        </w:tblPrEx>
        <w:trPr>
          <w:trHeight w:val="139" w:hRule="atLeast"/>
        </w:trPr>
        <w:tc>
          <w:tcPr>
            <w:tcW w:w="370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合计：</w:t>
            </w:r>
          </w:p>
        </w:tc>
        <w:tc>
          <w:tcPr>
            <w:tcW w:w="12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94230</w:t>
            </w:r>
          </w:p>
        </w:tc>
      </w:tr>
    </w:tbl>
    <w:p>
      <w:pPr>
        <w:numPr>
          <w:ilvl w:val="0"/>
          <w:numId w:val="0"/>
        </w:num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若清单有增加，收费单价应不高于市场现行收费标准。</w:t>
      </w:r>
    </w:p>
    <w:p>
      <w:pPr>
        <w:numPr>
          <w:ilvl w:val="0"/>
          <w:numId w:val="0"/>
        </w:numPr>
        <w:rPr>
          <w:rFonts w:hint="eastAsia"/>
        </w:rPr>
      </w:pPr>
    </w:p>
    <w:p>
      <w:pPr>
        <w:pStyle w:val="3"/>
        <w:spacing w:line="276" w:lineRule="auto"/>
        <w:ind w:firstLine="236" w:firstLineChars="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）商务要求：“</w:t>
      </w:r>
      <w:r>
        <w:rPr>
          <w:rFonts w:hint="eastAsia" w:ascii="宋体" w:hAnsi="宋体" w:eastAsia="宋体" w:cs="宋体"/>
          <w:sz w:val="24"/>
          <w:szCs w:val="24"/>
          <w:highlight w:val="none"/>
        </w:rPr>
        <w:t>※</w:t>
      </w:r>
      <w:r>
        <w:rPr>
          <w:rFonts w:hint="eastAsia" w:asciiTheme="minorEastAsia" w:hAnsiTheme="minorEastAsia" w:eastAsiaTheme="minorEastAsia" w:cstheme="minorEastAsia"/>
          <w:sz w:val="24"/>
          <w:szCs w:val="24"/>
        </w:rPr>
        <w:t>”的条款为本项目的实质性条款，投标人不满足的，将按照无效投标处理。</w:t>
      </w:r>
    </w:p>
    <w:p>
      <w:pPr>
        <w:keepNext w:val="0"/>
        <w:keepLines w:val="0"/>
        <w:pageBreakBefore w:val="0"/>
        <w:widowControl w:val="0"/>
        <w:kinsoku/>
        <w:wordWrap/>
        <w:overflowPunct/>
        <w:topLinePunct w:val="0"/>
        <w:autoSpaceDE/>
        <w:autoSpaceDN/>
        <w:bidi w:val="0"/>
        <w:adjustRightInd/>
        <w:snapToGrid/>
        <w:spacing w:line="276" w:lineRule="auto"/>
        <w:textAlignment w:val="auto"/>
        <w:outlineLvl w:val="9"/>
        <w:rPr>
          <w:rFonts w:hint="eastAsia" w:asciiTheme="minorEastAsia" w:hAnsiTheme="minorEastAsia" w:eastAsiaTheme="minorEastAsia" w:cstheme="minorEastAsia"/>
          <w:b/>
          <w:bCs/>
          <w:sz w:val="24"/>
          <w:szCs w:val="24"/>
          <w:lang w:val="en-US" w:eastAsia="zh-CN"/>
        </w:rPr>
      </w:pPr>
      <w:r>
        <w:rPr>
          <w:rFonts w:hint="eastAsia" w:ascii="宋体" w:hAnsi="宋体" w:eastAsia="宋体" w:cs="宋体"/>
          <w:sz w:val="24"/>
          <w:szCs w:val="24"/>
        </w:rPr>
        <w:t>※</w:t>
      </w:r>
      <w:r>
        <w:rPr>
          <w:rFonts w:hint="eastAsia" w:asciiTheme="minorEastAsia" w:hAnsiTheme="minorEastAsia" w:cstheme="minorEastAsia"/>
          <w:b w:val="0"/>
          <w:bCs w:val="0"/>
          <w:sz w:val="24"/>
          <w:szCs w:val="24"/>
          <w:lang w:val="en-US" w:eastAsia="zh-CN"/>
        </w:rPr>
        <w:t>1.计量设备检测服务项目年度预算为：49万元/年。</w:t>
      </w:r>
    </w:p>
    <w:p>
      <w:pPr>
        <w:keepNext w:val="0"/>
        <w:keepLines w:val="0"/>
        <w:pageBreakBefore w:val="0"/>
        <w:widowControl w:val="0"/>
        <w:kinsoku/>
        <w:wordWrap/>
        <w:overflowPunct/>
        <w:topLinePunct w:val="0"/>
        <w:autoSpaceDE/>
        <w:autoSpaceDN/>
        <w:bidi w:val="0"/>
        <w:adjustRightInd/>
        <w:snapToGrid/>
        <w:spacing w:line="276" w:lineRule="auto"/>
        <w:textAlignment w:val="auto"/>
        <w:outlineLvl w:val="9"/>
        <w:rPr>
          <w:rFonts w:hint="eastAsia" w:asciiTheme="minorEastAsia" w:hAnsiTheme="minorEastAsia" w:eastAsiaTheme="minorEastAsia" w:cstheme="minorEastAsia"/>
          <w:bCs/>
          <w:sz w:val="24"/>
          <w:szCs w:val="24"/>
        </w:rPr>
      </w:pPr>
      <w:r>
        <w:rPr>
          <w:rFonts w:hint="eastAsia" w:ascii="宋体" w:hAnsi="宋体" w:eastAsia="宋体" w:cs="宋体"/>
          <w:sz w:val="24"/>
          <w:szCs w:val="24"/>
        </w:rPr>
        <w:t>※</w:t>
      </w:r>
      <w:r>
        <w:rPr>
          <w:rFonts w:hint="eastAsia" w:asciiTheme="minorEastAsia" w:hAnsiTheme="minorEastAsia" w:cstheme="minorEastAsia"/>
          <w:bCs/>
          <w:sz w:val="24"/>
          <w:szCs w:val="24"/>
          <w:lang w:val="en-US" w:eastAsia="zh-CN"/>
        </w:rPr>
        <w:t>2</w:t>
      </w:r>
      <w:r>
        <w:rPr>
          <w:rFonts w:hint="eastAsia" w:asciiTheme="minorEastAsia" w:hAnsiTheme="minorEastAsia" w:eastAsiaTheme="minorEastAsia" w:cstheme="minorEastAsia"/>
          <w:bCs/>
          <w:sz w:val="24"/>
          <w:szCs w:val="24"/>
        </w:rPr>
        <w:t>．服务期限及服务地点</w:t>
      </w:r>
    </w:p>
    <w:p>
      <w:pPr>
        <w:keepNext w:val="0"/>
        <w:keepLines w:val="0"/>
        <w:pageBreakBefore w:val="0"/>
        <w:widowControl w:val="0"/>
        <w:kinsoku/>
        <w:wordWrap/>
        <w:overflowPunct/>
        <w:topLinePunct w:val="0"/>
        <w:autoSpaceDE/>
        <w:autoSpaceDN/>
        <w:bidi w:val="0"/>
        <w:adjustRightInd/>
        <w:snapToGrid/>
        <w:spacing w:line="276" w:lineRule="auto"/>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.1 服务期限：</w:t>
      </w:r>
      <w:r>
        <w:rPr>
          <w:rFonts w:hint="eastAsia" w:asciiTheme="minorEastAsia" w:hAnsiTheme="minorEastAsia" w:cstheme="minorEastAsia"/>
          <w:sz w:val="24"/>
          <w:szCs w:val="24"/>
          <w:lang w:eastAsia="zh-CN"/>
        </w:rPr>
        <w:t>壹</w:t>
      </w:r>
      <w:r>
        <w:rPr>
          <w:rFonts w:hint="eastAsia" w:asciiTheme="minorEastAsia" w:hAnsiTheme="minorEastAsia" w:eastAsiaTheme="minorEastAsia" w:cstheme="minorEastAsia"/>
          <w:sz w:val="24"/>
          <w:szCs w:val="24"/>
        </w:rPr>
        <w:t>年</w:t>
      </w:r>
    </w:p>
    <w:p>
      <w:pPr>
        <w:keepNext w:val="0"/>
        <w:keepLines w:val="0"/>
        <w:pageBreakBefore w:val="0"/>
        <w:widowControl w:val="0"/>
        <w:kinsoku/>
        <w:wordWrap/>
        <w:overflowPunct/>
        <w:topLinePunct w:val="0"/>
        <w:autoSpaceDE/>
        <w:autoSpaceDN/>
        <w:bidi w:val="0"/>
        <w:adjustRightInd/>
        <w:snapToGrid/>
        <w:spacing w:line="276" w:lineRule="auto"/>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 xml:space="preserve">.2 服务地点: </w:t>
      </w:r>
      <w:r>
        <w:rPr>
          <w:rFonts w:hint="eastAsia" w:ascii="Times New Roman" w:hAnsi="宋体"/>
          <w:b w:val="0"/>
          <w:bCs w:val="0"/>
          <w:sz w:val="24"/>
        </w:rPr>
        <w:t>采购人指定地点</w:t>
      </w:r>
      <w:r>
        <w:rPr>
          <w:rFonts w:hint="eastAsia" w:ascii="Times New Roman" w:hAnsi="宋体"/>
          <w:b w:val="0"/>
          <w:bCs w:val="0"/>
          <w:sz w:val="24"/>
          <w:lang w:eastAsia="zh-CN"/>
        </w:rPr>
        <w:t>（包含四川省妇幼保健院本部及天府院区）</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276" w:lineRule="auto"/>
        <w:textAlignment w:val="auto"/>
        <w:outlineLvl w:val="9"/>
        <w:rPr>
          <w:rFonts w:hint="eastAsia" w:asciiTheme="minorEastAsia" w:hAnsiTheme="minorEastAsia" w:eastAsiaTheme="minorEastAsia" w:cstheme="minorEastAsia"/>
          <w:bCs/>
          <w:sz w:val="24"/>
          <w:szCs w:val="24"/>
          <w:lang w:val="en-US" w:eastAsia="zh-CN"/>
        </w:rPr>
      </w:pPr>
      <w:r>
        <w:rPr>
          <w:rFonts w:hint="eastAsia" w:ascii="宋体" w:hAnsi="宋体" w:eastAsia="宋体" w:cs="宋体"/>
          <w:sz w:val="24"/>
          <w:szCs w:val="24"/>
        </w:rPr>
        <w:t>※</w:t>
      </w:r>
      <w:r>
        <w:rPr>
          <w:rFonts w:hint="eastAsia" w:asciiTheme="minorEastAsia" w:hAnsiTheme="minorEastAsia" w:cstheme="minorEastAsia"/>
          <w:bCs/>
          <w:sz w:val="24"/>
          <w:szCs w:val="24"/>
          <w:lang w:val="en-US" w:eastAsia="zh-CN"/>
        </w:rPr>
        <w:t>3</w:t>
      </w:r>
      <w:r>
        <w:rPr>
          <w:rFonts w:hint="eastAsia" w:asciiTheme="minorEastAsia" w:hAnsiTheme="minorEastAsia" w:eastAsiaTheme="minorEastAsia" w:cstheme="minorEastAsia"/>
          <w:bCs/>
          <w:sz w:val="24"/>
          <w:szCs w:val="24"/>
        </w:rPr>
        <w:t>．付款方法和条件：</w:t>
      </w:r>
      <w:r>
        <w:rPr>
          <w:rFonts w:hint="eastAsia" w:ascii="宋体" w:hAnsi="宋体" w:eastAsia="宋体" w:cs="宋体"/>
          <w:bCs/>
          <w:color w:val="auto"/>
          <w:sz w:val="24"/>
          <w:szCs w:val="24"/>
          <w:highlight w:val="none"/>
        </w:rPr>
        <w:t>中标人须向采购人出具合法有效完整的完税发票及凭证资料每半年根据实际使用量结算进行支付结算。采购人收到合法有效完整的完税发票及凭证资料后，</w:t>
      </w:r>
      <w:r>
        <w:rPr>
          <w:rFonts w:hint="eastAsia" w:hAnsi="宋体" w:cs="宋体"/>
          <w:bCs/>
          <w:color w:val="auto"/>
          <w:sz w:val="24"/>
          <w:szCs w:val="24"/>
          <w:highlight w:val="none"/>
          <w:lang w:val="en-US" w:eastAsia="zh-CN"/>
        </w:rPr>
        <w:t>60</w:t>
      </w:r>
      <w:r>
        <w:rPr>
          <w:rFonts w:hint="eastAsia" w:ascii="宋体" w:hAnsi="宋体" w:eastAsia="宋体" w:cs="宋体"/>
          <w:bCs/>
          <w:color w:val="auto"/>
          <w:sz w:val="24"/>
          <w:szCs w:val="24"/>
          <w:highlight w:val="none"/>
        </w:rPr>
        <w:t>日内完成支付</w:t>
      </w:r>
      <w:r>
        <w:rPr>
          <w:rFonts w:hint="eastAsia" w:asciiTheme="minorEastAsia" w:hAnsiTheme="minorEastAsia"/>
          <w:bCs/>
          <w:sz w:val="24"/>
        </w:rPr>
        <w:t>。</w:t>
      </w:r>
      <w:r>
        <w:rPr>
          <w:rFonts w:hint="eastAsia" w:asciiTheme="minorEastAsia" w:hAnsiTheme="minorEastAsia" w:cstheme="minorEastAsia"/>
          <w:bCs/>
          <w:sz w:val="24"/>
          <w:szCs w:val="24"/>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line="276" w:lineRule="auto"/>
        <w:ind w:firstLine="0" w:firstLineChars="0"/>
        <w:textAlignment w:val="auto"/>
        <w:outlineLvl w:val="9"/>
        <w:rPr>
          <w:rFonts w:hint="eastAsia" w:asciiTheme="minorEastAsia" w:hAnsiTheme="minorEastAsia" w:eastAsiaTheme="minorEastAsia" w:cstheme="minorEastAsia"/>
          <w:bCs/>
          <w:sz w:val="24"/>
          <w:szCs w:val="24"/>
          <w:lang w:val="en-US" w:eastAsia="zh-CN"/>
        </w:rPr>
      </w:pPr>
      <w:r>
        <w:rPr>
          <w:rFonts w:hint="eastAsia" w:ascii="宋体" w:hAnsi="宋体" w:eastAsia="宋体" w:cs="宋体"/>
          <w:sz w:val="24"/>
          <w:szCs w:val="24"/>
        </w:rPr>
        <w:t>※</w:t>
      </w:r>
      <w:r>
        <w:rPr>
          <w:rFonts w:hint="eastAsia" w:asciiTheme="minorEastAsia" w:hAnsiTheme="minorEastAsia" w:eastAsiaTheme="minorEastAsia" w:cstheme="minorEastAsia"/>
          <w:bCs/>
          <w:sz w:val="24"/>
          <w:szCs w:val="24"/>
          <w:lang w:val="en-US" w:eastAsia="zh-CN"/>
        </w:rPr>
        <w:t>4</w:t>
      </w:r>
      <w:r>
        <w:rPr>
          <w:rFonts w:hint="eastAsia" w:asciiTheme="minorEastAsia" w:hAnsiTheme="minorEastAsia" w:eastAsiaTheme="minorEastAsia" w:cstheme="minorEastAsia"/>
          <w:bCs/>
          <w:sz w:val="24"/>
          <w:szCs w:val="24"/>
        </w:rPr>
        <w:t>．报价方式：</w:t>
      </w:r>
      <w:r>
        <w:rPr>
          <w:rFonts w:hint="eastAsia" w:ascii="宋体" w:hAnsi="宋体" w:eastAsia="宋体" w:cs="宋体"/>
          <w:bCs/>
          <w:color w:val="auto"/>
          <w:sz w:val="24"/>
          <w:szCs w:val="24"/>
          <w:highlight w:val="none"/>
        </w:rPr>
        <w:t>采用单项合计报价，各</w:t>
      </w:r>
      <w:r>
        <w:rPr>
          <w:rFonts w:hint="eastAsia" w:ascii="宋体" w:hAnsi="宋体" w:eastAsia="宋体" w:cs="宋体"/>
          <w:bCs/>
          <w:color w:val="auto"/>
          <w:sz w:val="24"/>
          <w:szCs w:val="24"/>
          <w:highlight w:val="none"/>
          <w:lang w:val="en-US" w:eastAsia="zh-CN"/>
        </w:rPr>
        <w:t>项单价</w:t>
      </w:r>
      <w:r>
        <w:rPr>
          <w:rFonts w:hint="eastAsia" w:ascii="宋体" w:hAnsi="宋体" w:eastAsia="宋体" w:cs="宋体"/>
          <w:bCs/>
          <w:color w:val="auto"/>
          <w:sz w:val="24"/>
          <w:szCs w:val="24"/>
          <w:highlight w:val="none"/>
        </w:rPr>
        <w:t>限价为各项最高限价；超过各项</w:t>
      </w:r>
      <w:r>
        <w:rPr>
          <w:rFonts w:hint="eastAsia" w:ascii="宋体" w:hAnsi="宋体" w:eastAsia="宋体" w:cs="宋体"/>
          <w:bCs/>
          <w:color w:val="auto"/>
          <w:sz w:val="24"/>
          <w:szCs w:val="24"/>
          <w:highlight w:val="none"/>
          <w:lang w:val="en-US" w:eastAsia="zh-CN"/>
        </w:rPr>
        <w:t>单价</w:t>
      </w:r>
      <w:r>
        <w:rPr>
          <w:rFonts w:hint="eastAsia" w:ascii="宋体" w:hAnsi="宋体" w:eastAsia="宋体" w:cs="宋体"/>
          <w:bCs/>
          <w:color w:val="auto"/>
          <w:sz w:val="24"/>
          <w:szCs w:val="24"/>
          <w:highlight w:val="none"/>
        </w:rPr>
        <w:t>限价的报价为无效报价；本包使用数量，以采购人实际使用数量结算；无法完成的检测项目按照该项目限价进行报价。</w:t>
      </w:r>
    </w:p>
    <w:p>
      <w:pPr>
        <w:pStyle w:val="3"/>
        <w:spacing w:line="276" w:lineRule="auto"/>
        <w:ind w:firstLine="236" w:firstLineChars="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（四）技术服务要求</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检测单位对检测项目应配备经考核合格的标准检测器具（提供计量标准考核证书）；对于量大的项目如环境试验设备（温度、湿度）项目、医用超声项目，医用输液泵、注射泵项目、氧气吸入器项目应具有五套以上标准器具</w:t>
      </w:r>
      <w:r>
        <w:rPr>
          <w:rFonts w:hint="eastAsia" w:ascii="宋体" w:hAnsi="宋体" w:eastAsia="宋体" w:cs="宋体"/>
          <w:b/>
          <w:bCs w:val="0"/>
          <w:color w:val="auto"/>
          <w:sz w:val="24"/>
          <w:szCs w:val="24"/>
          <w:highlight w:val="none"/>
        </w:rPr>
        <w:t>（提供计量标准考核证书）</w:t>
      </w:r>
      <w:r>
        <w:rPr>
          <w:rFonts w:hint="eastAsia" w:ascii="宋体" w:hAnsi="宋体" w:eastAsia="宋体" w:cs="宋体"/>
          <w:bCs/>
          <w:color w:val="auto"/>
          <w:sz w:val="24"/>
          <w:szCs w:val="24"/>
          <w:highlight w:val="none"/>
        </w:rPr>
        <w:t>。</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、检测单位对</w:t>
      </w:r>
      <w:r>
        <w:rPr>
          <w:rFonts w:hint="eastAsia" w:ascii="宋体" w:hAnsi="宋体" w:eastAsia="宋体" w:cs="宋体"/>
          <w:bCs/>
          <w:color w:val="auto"/>
          <w:sz w:val="24"/>
          <w:szCs w:val="24"/>
          <w:highlight w:val="none"/>
          <w:lang w:val="en-US" w:eastAsia="zh-CN"/>
        </w:rPr>
        <w:t>非量大的项目每类</w:t>
      </w:r>
      <w:r>
        <w:rPr>
          <w:rFonts w:hint="eastAsia" w:ascii="宋体" w:hAnsi="宋体" w:eastAsia="宋体" w:cs="宋体"/>
          <w:bCs/>
          <w:color w:val="auto"/>
          <w:sz w:val="24"/>
          <w:szCs w:val="24"/>
          <w:highlight w:val="none"/>
        </w:rPr>
        <w:t>检测项目应配备具有资质的专业技术人员2人以上</w:t>
      </w:r>
      <w:r>
        <w:rPr>
          <w:rFonts w:hint="eastAsia" w:ascii="宋体" w:hAnsi="宋体" w:eastAsia="宋体" w:cs="宋体"/>
          <w:b/>
          <w:bCs w:val="0"/>
          <w:color w:val="auto"/>
          <w:sz w:val="24"/>
          <w:szCs w:val="24"/>
          <w:highlight w:val="none"/>
        </w:rPr>
        <w:t>。</w:t>
      </w:r>
      <w:r>
        <w:rPr>
          <w:rFonts w:hint="eastAsia" w:ascii="宋体" w:hAnsi="宋体" w:eastAsia="宋体" w:cs="宋体"/>
          <w:bCs/>
          <w:color w:val="auto"/>
          <w:sz w:val="24"/>
          <w:szCs w:val="24"/>
          <w:highlight w:val="none"/>
        </w:rPr>
        <w:t>在签订合同前将相关证明文件提供给</w:t>
      </w:r>
      <w:r>
        <w:rPr>
          <w:rFonts w:hint="eastAsia" w:ascii="宋体" w:hAnsi="宋体" w:eastAsia="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rPr>
        <w:t>查验。</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提供承诺函原件，加盖投标人鲜章</w:t>
      </w:r>
      <w:r>
        <w:rPr>
          <w:rFonts w:hint="eastAsia" w:ascii="宋体" w:hAnsi="宋体" w:eastAsia="宋体" w:cs="宋体"/>
          <w:b/>
          <w:bCs w:val="0"/>
          <w:color w:val="auto"/>
          <w:sz w:val="24"/>
          <w:szCs w:val="24"/>
          <w:highlight w:val="none"/>
          <w:lang w:eastAsia="zh-CN"/>
        </w:rPr>
        <w:t>）</w:t>
      </w:r>
      <w:r>
        <w:rPr>
          <w:rFonts w:hint="eastAsia" w:ascii="宋体" w:hAnsi="宋体" w:eastAsia="宋体" w:cs="宋体"/>
          <w:bCs/>
          <w:color w:val="auto"/>
          <w:sz w:val="24"/>
          <w:szCs w:val="24"/>
          <w:highlight w:val="none"/>
        </w:rPr>
        <w:t>对于量大的项目如环境试验设备（温度、湿度）项目、医用超声项目，医用输液泵、注射泵项目、氧气吸入器项目</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每类检测项目</w:t>
      </w:r>
      <w:r>
        <w:rPr>
          <w:rFonts w:hint="eastAsia" w:ascii="宋体" w:hAnsi="宋体" w:eastAsia="宋体" w:cs="宋体"/>
          <w:bCs/>
          <w:color w:val="auto"/>
          <w:sz w:val="24"/>
          <w:szCs w:val="24"/>
          <w:highlight w:val="none"/>
        </w:rPr>
        <w:t>应配备具有资质的专业技术人员各5人以上。在签订合同前将相关证明文件提供给</w:t>
      </w:r>
      <w:r>
        <w:rPr>
          <w:rFonts w:hint="eastAsia" w:ascii="宋体" w:hAnsi="宋体" w:eastAsia="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rPr>
        <w:t>查验。</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提供承诺函原件，加盖投标人鲜章</w:t>
      </w:r>
      <w:r>
        <w:rPr>
          <w:rFonts w:hint="eastAsia" w:ascii="宋体" w:hAnsi="宋体" w:eastAsia="宋体" w:cs="宋体"/>
          <w:b/>
          <w:bCs w:val="0"/>
          <w:color w:val="auto"/>
          <w:sz w:val="24"/>
          <w:szCs w:val="24"/>
          <w:highlight w:val="none"/>
          <w:lang w:eastAsia="zh-CN"/>
        </w:rPr>
        <w:t>）</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、检测单位自身需具备能覆盖采购人所需检测项目90%以上的检测资质和能力；并提供检测项目的社会公用计量标准证书，传递地区或范围为成都行政区域。</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、检测单位具备面向客户端的管理模式，确保客户可实时查询相关计量器具检定时间、电子证书查询、电子证书下载、效期预警、计量器具统计等相关功能。</w:t>
      </w:r>
    </w:p>
    <w:p>
      <w:pPr>
        <w:pStyle w:val="4"/>
        <w:numPr>
          <w:ilvl w:val="0"/>
          <w:numId w:val="0"/>
        </w:numPr>
        <w:spacing w:line="276" w:lineRule="auto"/>
        <w:rPr>
          <w:rFonts w:hint="eastAsia" w:asciiTheme="minorEastAsia" w:hAnsiTheme="minorEastAsia" w:eastAsiaTheme="minorEastAsia" w:cstheme="minorEastAsia"/>
          <w:bCs/>
          <w:sz w:val="24"/>
          <w:szCs w:val="24"/>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医院提出检测需求后48小时内进行及时检测并出具符合国家相关规定的检测报告。</w:t>
      </w:r>
    </w:p>
    <w:p>
      <w:pPr>
        <w:widowControl/>
        <w:shd w:val="clear" w:color="auto" w:fill="FFFFFF"/>
        <w:wordWrap w:val="0"/>
        <w:spacing w:line="360" w:lineRule="auto"/>
        <w:jc w:val="left"/>
        <w:rPr>
          <w:rFonts w:hint="eastAsia" w:asciiTheme="minorEastAsia" w:hAnsiTheme="minorEastAsia" w:eastAsiaTheme="minorEastAsia" w:cstheme="minorEastAsia"/>
          <w:b/>
          <w:color w:val="333333"/>
          <w:kern w:val="0"/>
          <w:sz w:val="24"/>
          <w:szCs w:val="24"/>
        </w:rPr>
      </w:pPr>
      <w:r>
        <w:rPr>
          <w:rFonts w:hint="eastAsia" w:asciiTheme="minorEastAsia" w:hAnsiTheme="minorEastAsia" w:eastAsiaTheme="minorEastAsia" w:cstheme="minorEastAsia"/>
          <w:b/>
          <w:color w:val="333333"/>
          <w:kern w:val="0"/>
          <w:sz w:val="24"/>
          <w:szCs w:val="24"/>
        </w:rPr>
        <w:t>附件2：综合评分明细表</w:t>
      </w:r>
    </w:p>
    <w:tbl>
      <w:tblPr>
        <w:tblStyle w:val="12"/>
        <w:tblpPr w:leftFromText="180" w:rightFromText="180" w:vertAnchor="text" w:tblpXSpec="center" w:tblpY="1"/>
        <w:tblOverlap w:val="never"/>
        <w:tblW w:w="10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239"/>
        <w:gridCol w:w="731"/>
        <w:gridCol w:w="4930"/>
        <w:gridCol w:w="2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22" w:type="dxa"/>
            <w:noWrap w:val="0"/>
            <w:vAlign w:val="center"/>
          </w:tcPr>
          <w:p>
            <w:pPr>
              <w:keepNext/>
              <w:kinsoku w:val="0"/>
              <w:overflowPunct w:val="0"/>
              <w:spacing w:line="400" w:lineRule="exac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序号</w:t>
            </w:r>
          </w:p>
        </w:tc>
        <w:tc>
          <w:tcPr>
            <w:tcW w:w="1239" w:type="dxa"/>
            <w:noWrap w:val="0"/>
            <w:vAlign w:val="center"/>
          </w:tcPr>
          <w:p>
            <w:pPr>
              <w:keepNext/>
              <w:kinsoku w:val="0"/>
              <w:overflowPunct w:val="0"/>
              <w:spacing w:line="400" w:lineRule="exac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评分因素及权重</w:t>
            </w:r>
          </w:p>
        </w:tc>
        <w:tc>
          <w:tcPr>
            <w:tcW w:w="731" w:type="dxa"/>
            <w:noWrap w:val="0"/>
            <w:vAlign w:val="center"/>
          </w:tcPr>
          <w:p>
            <w:pPr>
              <w:keepNext/>
              <w:kinsoku w:val="0"/>
              <w:overflowPunct w:val="0"/>
              <w:spacing w:line="400" w:lineRule="exac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分值</w:t>
            </w:r>
          </w:p>
        </w:tc>
        <w:tc>
          <w:tcPr>
            <w:tcW w:w="4930" w:type="dxa"/>
            <w:noWrap w:val="0"/>
            <w:vAlign w:val="center"/>
          </w:tcPr>
          <w:p>
            <w:pPr>
              <w:keepNext/>
              <w:kinsoku w:val="0"/>
              <w:overflowPunct w:val="0"/>
              <w:spacing w:line="400" w:lineRule="exact"/>
              <w:ind w:firstLine="482" w:firstLineChars="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评审依据</w:t>
            </w:r>
          </w:p>
        </w:tc>
        <w:tc>
          <w:tcPr>
            <w:tcW w:w="2511" w:type="dxa"/>
            <w:noWrap w:val="0"/>
            <w:vAlign w:val="center"/>
          </w:tcPr>
          <w:p>
            <w:pPr>
              <w:keepNext/>
              <w:kinsoku w:val="0"/>
              <w:overflowPunct w:val="0"/>
              <w:spacing w:line="400" w:lineRule="exac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22" w:type="dxa"/>
            <w:noWrap w:val="0"/>
            <w:vAlign w:val="center"/>
          </w:tcPr>
          <w:p>
            <w:pPr>
              <w:keepNext/>
              <w:kinsoku w:val="0"/>
              <w:overflowPunct w:val="0"/>
              <w:spacing w:line="400" w:lineRule="exac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1</w:t>
            </w:r>
          </w:p>
        </w:tc>
        <w:tc>
          <w:tcPr>
            <w:tcW w:w="1239" w:type="dxa"/>
            <w:noWrap w:val="0"/>
            <w:vAlign w:val="center"/>
          </w:tcPr>
          <w:p>
            <w:pPr>
              <w:keepNext/>
              <w:kinsoku w:val="0"/>
              <w:overflowPunct w:val="0"/>
              <w:spacing w:line="4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价格</w:t>
            </w:r>
          </w:p>
          <w:p>
            <w:pPr>
              <w:keepNext/>
              <w:kinsoku w:val="0"/>
              <w:overflowPunct w:val="0"/>
              <w:spacing w:line="400" w:lineRule="exac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val="en-US" w:eastAsia="zh-CN" w:bidi="ar"/>
              </w:rPr>
              <w:t>0</w:t>
            </w:r>
            <w:r>
              <w:rPr>
                <w:rFonts w:hint="eastAsia" w:ascii="宋体" w:hAnsi="宋体" w:eastAsia="宋体" w:cs="宋体"/>
                <w:color w:val="auto"/>
                <w:sz w:val="24"/>
                <w:szCs w:val="24"/>
                <w:highlight w:val="none"/>
                <w:lang w:bidi="ar"/>
              </w:rPr>
              <w:t>%</w:t>
            </w:r>
          </w:p>
        </w:tc>
        <w:tc>
          <w:tcPr>
            <w:tcW w:w="731" w:type="dxa"/>
            <w:noWrap w:val="0"/>
            <w:vAlign w:val="center"/>
          </w:tcPr>
          <w:p>
            <w:pPr>
              <w:keepNext/>
              <w:kinsoku w:val="0"/>
              <w:overflowPunct w:val="0"/>
              <w:spacing w:line="400" w:lineRule="exact"/>
              <w:ind w:left="26" w:leftChars="0" w:hanging="26" w:hangingChars="11"/>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1</w:t>
            </w:r>
            <w:r>
              <w:rPr>
                <w:rFonts w:hint="eastAsia" w:ascii="宋体" w:hAnsi="宋体" w:eastAsia="宋体" w:cs="宋体"/>
                <w:color w:val="auto"/>
                <w:sz w:val="24"/>
                <w:szCs w:val="24"/>
                <w:highlight w:val="none"/>
                <w:lang w:val="en-US" w:eastAsia="zh-CN" w:bidi="ar"/>
              </w:rPr>
              <w:t>0</w:t>
            </w:r>
            <w:r>
              <w:rPr>
                <w:rFonts w:hint="eastAsia" w:ascii="宋体" w:hAnsi="宋体" w:eastAsia="宋体" w:cs="宋体"/>
                <w:color w:val="auto"/>
                <w:sz w:val="24"/>
                <w:szCs w:val="24"/>
                <w:highlight w:val="none"/>
                <w:lang w:bidi="ar"/>
              </w:rPr>
              <w:t>分</w:t>
            </w:r>
          </w:p>
        </w:tc>
        <w:tc>
          <w:tcPr>
            <w:tcW w:w="4930" w:type="dxa"/>
            <w:noWrap w:val="0"/>
            <w:vAlign w:val="center"/>
          </w:tcPr>
          <w:p>
            <w:pPr>
              <w:keepNext/>
              <w:kinsoku w:val="0"/>
              <w:overflowPunct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综合评分法中的价格分统一采用低价优先法计算，即满足招标文件要求且投标价格最低的投标报价为评标基准价，其价格分为满分。其他投标人的价格分统一按照下列公式计算：</w:t>
            </w:r>
          </w:p>
          <w:p>
            <w:pPr>
              <w:keepNext/>
              <w:kinsoku w:val="0"/>
              <w:overflowPunct w:val="0"/>
              <w:spacing w:line="40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投标报价得分=(评标基准价／投标报价)×100×</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p>
        </w:tc>
        <w:tc>
          <w:tcPr>
            <w:tcW w:w="2511" w:type="dxa"/>
            <w:noWrap w:val="0"/>
            <w:vAlign w:val="center"/>
          </w:tcPr>
          <w:p>
            <w:pPr>
              <w:keepNext/>
              <w:kinsoku w:val="0"/>
              <w:overflowPunct w:val="0"/>
              <w:spacing w:line="400" w:lineRule="exact"/>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小微企业（监狱企业、残疾人福利性单位视同小微企业）价格扣除等政策评分按照本招标文件投标人须知前附表规定执行。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22" w:type="dxa"/>
            <w:noWrap w:val="0"/>
            <w:vAlign w:val="center"/>
          </w:tcPr>
          <w:p>
            <w:pPr>
              <w:keepNext/>
              <w:kinsoku w:val="0"/>
              <w:overflowPunct w:val="0"/>
              <w:spacing w:line="400" w:lineRule="exac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
              </w:rPr>
              <w:t>2</w:t>
            </w:r>
          </w:p>
        </w:tc>
        <w:tc>
          <w:tcPr>
            <w:tcW w:w="1239" w:type="dxa"/>
            <w:noWrap w:val="0"/>
            <w:vAlign w:val="center"/>
          </w:tcPr>
          <w:p>
            <w:pPr>
              <w:keepNext/>
              <w:kinsoku w:val="0"/>
              <w:overflowPunct w:val="0"/>
              <w:spacing w:line="400" w:lineRule="exact"/>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技术服务要求</w:t>
            </w:r>
          </w:p>
          <w:p>
            <w:pPr>
              <w:keepNext/>
              <w:kinsoku w:val="0"/>
              <w:overflowPunct w:val="0"/>
              <w:spacing w:line="400" w:lineRule="exac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
              </w:rPr>
              <w:t>40</w:t>
            </w:r>
            <w:r>
              <w:rPr>
                <w:rFonts w:hint="eastAsia" w:ascii="宋体" w:hAnsi="宋体" w:eastAsia="宋体" w:cs="宋体"/>
                <w:color w:val="auto"/>
                <w:sz w:val="24"/>
                <w:szCs w:val="24"/>
                <w:highlight w:val="none"/>
                <w:lang w:bidi="ar"/>
              </w:rPr>
              <w:t>%</w:t>
            </w:r>
          </w:p>
        </w:tc>
        <w:tc>
          <w:tcPr>
            <w:tcW w:w="731" w:type="dxa"/>
            <w:noWrap w:val="0"/>
            <w:vAlign w:val="center"/>
          </w:tcPr>
          <w:p>
            <w:pPr>
              <w:keepNext/>
              <w:kinsoku w:val="0"/>
              <w:overflowPunct w:val="0"/>
              <w:spacing w:line="400" w:lineRule="exac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
              </w:rPr>
              <w:t>40</w:t>
            </w:r>
            <w:r>
              <w:rPr>
                <w:rFonts w:hint="eastAsia" w:ascii="宋体" w:hAnsi="宋体" w:eastAsia="宋体" w:cs="宋体"/>
                <w:color w:val="auto"/>
                <w:sz w:val="24"/>
                <w:szCs w:val="24"/>
                <w:highlight w:val="none"/>
                <w:lang w:bidi="ar"/>
              </w:rPr>
              <w:t>分</w:t>
            </w:r>
          </w:p>
        </w:tc>
        <w:tc>
          <w:tcPr>
            <w:tcW w:w="4930" w:type="dxa"/>
            <w:noWrap w:val="0"/>
            <w:vAlign w:val="center"/>
          </w:tcPr>
          <w:p>
            <w:pPr>
              <w:keepNext/>
              <w:kinsoku w:val="0"/>
              <w:overflowPunct w:val="0"/>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完全满足招标文件中“技术服务要求”的没有负偏离得40分；每有一项标注“▲”的参数有负偏离的扣9分，每有一项一般参数有负偏离的扣4分，扣完为止。</w:t>
            </w:r>
          </w:p>
        </w:tc>
        <w:tc>
          <w:tcPr>
            <w:tcW w:w="2511" w:type="dxa"/>
            <w:noWrap w:val="0"/>
            <w:vAlign w:val="center"/>
          </w:tcPr>
          <w:p>
            <w:pPr>
              <w:pStyle w:val="9"/>
              <w:keepNext/>
              <w:kinsoku w:val="0"/>
              <w:overflowPunct w:val="0"/>
              <w:spacing w:before="0" w:beforeAutospacing="0" w:after="0" w:afterAutospacing="0" w:line="400" w:lineRule="exact"/>
              <w:jc w:val="left"/>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以投标人的投标文件为准。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22" w:type="dxa"/>
            <w:noWrap w:val="0"/>
            <w:vAlign w:val="center"/>
          </w:tcPr>
          <w:p>
            <w:pPr>
              <w:keepNext/>
              <w:kinsoku w:val="0"/>
              <w:overflowPunct w:val="0"/>
              <w:spacing w:line="400" w:lineRule="exact"/>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3</w:t>
            </w:r>
          </w:p>
        </w:tc>
        <w:tc>
          <w:tcPr>
            <w:tcW w:w="1239" w:type="dxa"/>
            <w:noWrap w:val="0"/>
            <w:vAlign w:val="center"/>
          </w:tcPr>
          <w:p>
            <w:pPr>
              <w:keepNext/>
              <w:kinsoku w:val="0"/>
              <w:overflowPunct w:val="0"/>
              <w:spacing w:line="400" w:lineRule="exact"/>
              <w:ind w:left="26" w:leftChars="0" w:hanging="26" w:hangingChars="11"/>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项目实施方案</w:t>
            </w:r>
          </w:p>
          <w:p>
            <w:pPr>
              <w:keepNext/>
              <w:kinsoku w:val="0"/>
              <w:overflowPunct w:val="0"/>
              <w:spacing w:line="400" w:lineRule="exact"/>
              <w:ind w:left="26" w:leftChars="0" w:hanging="26" w:hangingChars="11"/>
              <w:jc w:val="center"/>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12%</w:t>
            </w:r>
          </w:p>
        </w:tc>
        <w:tc>
          <w:tcPr>
            <w:tcW w:w="731" w:type="dxa"/>
            <w:noWrap w:val="0"/>
            <w:vAlign w:val="center"/>
          </w:tcPr>
          <w:p>
            <w:pPr>
              <w:keepNext/>
              <w:kinsoku w:val="0"/>
              <w:overflowPunct w:val="0"/>
              <w:spacing w:line="400" w:lineRule="exact"/>
              <w:ind w:left="26" w:leftChars="0" w:hanging="26" w:hangingChars="11"/>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12</w:t>
            </w:r>
            <w:r>
              <w:rPr>
                <w:rFonts w:hint="eastAsia" w:ascii="宋体" w:hAnsi="宋体" w:eastAsia="宋体" w:cs="宋体"/>
                <w:color w:val="auto"/>
                <w:sz w:val="24"/>
                <w:szCs w:val="24"/>
                <w:highlight w:val="none"/>
                <w:lang w:val="en-US" w:eastAsia="zh-CN" w:bidi="ar"/>
              </w:rPr>
              <w:t>分</w:t>
            </w:r>
          </w:p>
        </w:tc>
        <w:tc>
          <w:tcPr>
            <w:tcW w:w="4930" w:type="dxa"/>
            <w:noWrap w:val="0"/>
            <w:vAlign w:val="center"/>
          </w:tcPr>
          <w:p>
            <w:pPr>
              <w:keepNext/>
              <w:kinsoku w:val="0"/>
              <w:overflowPunct w:val="0"/>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投标人根据本项目特点，提供项目实施方案至少包含：1.质量保障措施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2.培训计划</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3.应急措施的，每具有一项</w:t>
            </w:r>
            <w:r>
              <w:rPr>
                <w:rFonts w:hint="eastAsia" w:ascii="宋体" w:hAnsi="宋体" w:eastAsia="宋体" w:cs="宋体"/>
                <w:color w:val="auto"/>
                <w:sz w:val="24"/>
                <w:szCs w:val="24"/>
                <w:highlight w:val="none"/>
                <w:lang w:val="en-US" w:eastAsia="zh-CN"/>
              </w:rPr>
              <w:t>符合项目需求的</w:t>
            </w:r>
            <w:r>
              <w:rPr>
                <w:rFonts w:hint="eastAsia" w:ascii="宋体" w:hAnsi="宋体" w:eastAsia="宋体" w:cs="宋体"/>
                <w:color w:val="auto"/>
                <w:sz w:val="24"/>
                <w:szCs w:val="24"/>
                <w:highlight w:val="none"/>
              </w:rPr>
              <w:t>得4分，最多得12分。在此基础上，方案中存在缺陷或不足，且不利于项目实施的，每有一处扣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分，扣完为止。</w:t>
            </w:r>
            <w:r>
              <w:rPr>
                <w:rFonts w:hint="eastAsia" w:ascii="宋体" w:hAnsi="宋体" w:eastAsia="宋体" w:cs="宋体"/>
                <w:color w:val="auto"/>
                <w:sz w:val="24"/>
                <w:szCs w:val="24"/>
                <w:highlight w:val="none"/>
                <w:lang w:eastAsia="zh-CN"/>
              </w:rPr>
              <w:t>（</w:t>
            </w:r>
            <w:r>
              <w:rPr>
                <w:rFonts w:hint="eastAsia" w:hAnsi="宋体" w:cs="方正仿宋_GBK"/>
                <w:color w:val="auto"/>
                <w:sz w:val="24"/>
                <w:highlight w:val="none"/>
              </w:rPr>
              <w:t>缺陷</w:t>
            </w:r>
            <w:r>
              <w:rPr>
                <w:rFonts w:hint="eastAsia" w:hAnsi="宋体" w:cs="方正仿宋_GBK"/>
                <w:color w:val="auto"/>
                <w:sz w:val="24"/>
                <w:highlight w:val="none"/>
                <w:lang w:val="en-US" w:eastAsia="zh-CN"/>
              </w:rPr>
              <w:t>或不足</w:t>
            </w:r>
            <w:r>
              <w:rPr>
                <w:rFonts w:hint="eastAsia" w:hAnsi="宋体" w:cs="方正仿宋_GBK"/>
                <w:color w:val="auto"/>
                <w:sz w:val="24"/>
                <w:highlight w:val="none"/>
              </w:rPr>
              <w:t>是指：存在不适用该项目实际情况的情形、凭空编造、内容前后不一致、前后逻辑错误、涉及的规范及标准错误、地点区域错误、内容缺失、不符合采购需求等）</w:t>
            </w:r>
          </w:p>
        </w:tc>
        <w:tc>
          <w:tcPr>
            <w:tcW w:w="2511" w:type="dxa"/>
            <w:noWrap w:val="0"/>
            <w:vAlign w:val="center"/>
          </w:tcPr>
          <w:p>
            <w:pPr>
              <w:pStyle w:val="9"/>
              <w:keepNext/>
              <w:kinsoku w:val="0"/>
              <w:overflowPunct w:val="0"/>
              <w:spacing w:before="0" w:beforeAutospacing="0" w:after="0" w:afterAutospacing="0" w:line="400" w:lineRule="exact"/>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提供项目实施方案。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722" w:type="dxa"/>
            <w:noWrap w:val="0"/>
            <w:vAlign w:val="center"/>
          </w:tcPr>
          <w:p>
            <w:pPr>
              <w:keepNext/>
              <w:kinsoku w:val="0"/>
              <w:overflowPunct w:val="0"/>
              <w:spacing w:line="400" w:lineRule="exact"/>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4</w:t>
            </w:r>
          </w:p>
        </w:tc>
        <w:tc>
          <w:tcPr>
            <w:tcW w:w="1239" w:type="dxa"/>
            <w:noWrap w:val="0"/>
            <w:vAlign w:val="center"/>
          </w:tcPr>
          <w:p>
            <w:pPr>
              <w:keepNext/>
              <w:kinsoku w:val="0"/>
              <w:overflowPunct w:val="0"/>
              <w:spacing w:line="400" w:lineRule="exact"/>
              <w:ind w:left="26" w:leftChars="0" w:hanging="26" w:hangingChars="11"/>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服务人员要求</w:t>
            </w:r>
          </w:p>
          <w:p>
            <w:pPr>
              <w:keepNext/>
              <w:kinsoku w:val="0"/>
              <w:overflowPunct w:val="0"/>
              <w:spacing w:line="400" w:lineRule="exact"/>
              <w:ind w:left="26" w:leftChars="0" w:hanging="26" w:hangingChars="11"/>
              <w:jc w:val="center"/>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25%</w:t>
            </w:r>
          </w:p>
        </w:tc>
        <w:tc>
          <w:tcPr>
            <w:tcW w:w="731" w:type="dxa"/>
            <w:noWrap w:val="0"/>
            <w:vAlign w:val="center"/>
          </w:tcPr>
          <w:p>
            <w:pPr>
              <w:keepNext/>
              <w:kinsoku w:val="0"/>
              <w:overflowPunct w:val="0"/>
              <w:spacing w:line="400" w:lineRule="exact"/>
              <w:ind w:left="26" w:leftChars="0" w:hanging="26" w:hangingChars="11"/>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25</w:t>
            </w:r>
            <w:r>
              <w:rPr>
                <w:rFonts w:hint="eastAsia" w:ascii="宋体" w:hAnsi="宋体" w:eastAsia="宋体" w:cs="宋体"/>
                <w:color w:val="auto"/>
                <w:sz w:val="24"/>
                <w:szCs w:val="24"/>
                <w:highlight w:val="none"/>
                <w:lang w:val="en-US" w:eastAsia="zh-CN" w:bidi="ar"/>
              </w:rPr>
              <w:t>分</w:t>
            </w:r>
          </w:p>
        </w:tc>
        <w:tc>
          <w:tcPr>
            <w:tcW w:w="4930" w:type="dxa"/>
            <w:noWrap w:val="0"/>
            <w:vAlign w:val="center"/>
          </w:tcPr>
          <w:p>
            <w:pPr>
              <w:wordWrap w:val="0"/>
              <w:topLinePunct/>
              <w:spacing w:line="360" w:lineRule="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投标人根据本项目特点，提供该项目人员配备方案：具有20名及以上具有相关业务检测能力的工作人员，得12分；其中，每具有一名中级职称人员加0.5分，最多加5分，每具有一名高级职称人员加1分，最多加8分。</w:t>
            </w:r>
          </w:p>
          <w:p>
            <w:pPr>
              <w:pStyle w:val="2"/>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本项最高得25分。</w:t>
            </w:r>
          </w:p>
        </w:tc>
        <w:tc>
          <w:tcPr>
            <w:tcW w:w="2511" w:type="dxa"/>
            <w:noWrap w:val="0"/>
            <w:vAlign w:val="center"/>
          </w:tcPr>
          <w:p>
            <w:pPr>
              <w:wordWrap w:val="0"/>
              <w:topLinePunct/>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1.提供计量检定员证书或拥有计量专业项目考核合格证明或注册计量师证书复印件加盖投标人公章。</w:t>
            </w:r>
          </w:p>
          <w:p>
            <w:pPr>
              <w:wordWrap w:val="0"/>
              <w:topLinePunct/>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2.提供职称证书复印件加盖投标人公章。</w:t>
            </w:r>
          </w:p>
          <w:p>
            <w:pPr>
              <w:wordWrap w:val="0"/>
              <w:topLinePunct/>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3.以上人员均需提供在职证明材料。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22" w:type="dxa"/>
            <w:noWrap w:val="0"/>
            <w:vAlign w:val="center"/>
          </w:tcPr>
          <w:p>
            <w:pPr>
              <w:keepNext/>
              <w:kinsoku w:val="0"/>
              <w:overflowPunct w:val="0"/>
              <w:spacing w:line="400" w:lineRule="exact"/>
              <w:jc w:val="center"/>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5</w:t>
            </w:r>
          </w:p>
        </w:tc>
        <w:tc>
          <w:tcPr>
            <w:tcW w:w="1239" w:type="dxa"/>
            <w:noWrap w:val="0"/>
            <w:vAlign w:val="center"/>
          </w:tcPr>
          <w:p>
            <w:pPr>
              <w:keepNext/>
              <w:kinsoku w:val="0"/>
              <w:overflowPunct w:val="0"/>
              <w:spacing w:line="400" w:lineRule="exact"/>
              <w:ind w:left="26" w:leftChars="0" w:hanging="26" w:hangingChars="11"/>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业绩</w:t>
            </w:r>
          </w:p>
          <w:p>
            <w:pPr>
              <w:keepNext/>
              <w:kinsoku w:val="0"/>
              <w:overflowPunct w:val="0"/>
              <w:spacing w:line="400" w:lineRule="exact"/>
              <w:ind w:left="26" w:leftChars="0" w:hanging="26" w:hangingChars="11"/>
              <w:jc w:val="center"/>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5%</w:t>
            </w:r>
          </w:p>
        </w:tc>
        <w:tc>
          <w:tcPr>
            <w:tcW w:w="731" w:type="dxa"/>
            <w:noWrap w:val="0"/>
            <w:vAlign w:val="center"/>
          </w:tcPr>
          <w:p>
            <w:pPr>
              <w:keepNext/>
              <w:kinsoku w:val="0"/>
              <w:overflowPunct w:val="0"/>
              <w:spacing w:line="400" w:lineRule="exact"/>
              <w:ind w:left="26" w:leftChars="0" w:hanging="26" w:hangingChars="11"/>
              <w:jc w:val="center"/>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5分</w:t>
            </w:r>
          </w:p>
        </w:tc>
        <w:tc>
          <w:tcPr>
            <w:tcW w:w="4930" w:type="dxa"/>
            <w:noWrap w:val="0"/>
            <w:vAlign w:val="center"/>
          </w:tcPr>
          <w:p>
            <w:pPr>
              <w:wordWrap w:val="0"/>
              <w:topLinePunct/>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投标人提供自2020年1月1日以来具有类似项目履约经验的，每有1个得1分，最多得5分。（类似项目是指包含本次检定项目至少50项及以上的履约项目）</w:t>
            </w:r>
          </w:p>
        </w:tc>
        <w:tc>
          <w:tcPr>
            <w:tcW w:w="2511" w:type="dxa"/>
            <w:noWrap w:val="0"/>
            <w:vAlign w:val="center"/>
          </w:tcPr>
          <w:p>
            <w:pPr>
              <w:wordWrap w:val="0"/>
              <w:topLinePunct/>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提供合同复印件和银行转账记录加盖</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合同复印件需体现检定内容，检定内容一致名称上不要求完全一致</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22" w:type="dxa"/>
            <w:noWrap w:val="0"/>
            <w:vAlign w:val="center"/>
          </w:tcPr>
          <w:p>
            <w:pPr>
              <w:keepNext/>
              <w:kinsoku w:val="0"/>
              <w:overflowPunct w:val="0"/>
              <w:spacing w:line="400" w:lineRule="exac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
              </w:rPr>
              <w:t>6</w:t>
            </w:r>
          </w:p>
        </w:tc>
        <w:tc>
          <w:tcPr>
            <w:tcW w:w="1239" w:type="dxa"/>
            <w:noWrap w:val="0"/>
            <w:vAlign w:val="center"/>
          </w:tcPr>
          <w:p>
            <w:pPr>
              <w:keepNext/>
              <w:kinsoku w:val="0"/>
              <w:overflowPunct w:val="0"/>
              <w:spacing w:line="400" w:lineRule="exact"/>
              <w:ind w:left="26" w:leftChars="0" w:hanging="26" w:hangingChars="11"/>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履约能力</w:t>
            </w:r>
          </w:p>
          <w:p>
            <w:pPr>
              <w:keepNext/>
              <w:kinsoku w:val="0"/>
              <w:overflowPunct w:val="0"/>
              <w:spacing w:line="400" w:lineRule="exact"/>
              <w:ind w:left="26" w:leftChars="0" w:hanging="26" w:hangingChars="11"/>
              <w:jc w:val="center"/>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8%</w:t>
            </w:r>
          </w:p>
        </w:tc>
        <w:tc>
          <w:tcPr>
            <w:tcW w:w="731" w:type="dxa"/>
            <w:noWrap w:val="0"/>
            <w:vAlign w:val="center"/>
          </w:tcPr>
          <w:p>
            <w:pPr>
              <w:keepNext/>
              <w:kinsoku w:val="0"/>
              <w:overflowPunct w:val="0"/>
              <w:spacing w:line="400" w:lineRule="exact"/>
              <w:ind w:left="26" w:leftChars="0" w:hanging="26" w:hangingChars="11"/>
              <w:jc w:val="center"/>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8分</w:t>
            </w:r>
          </w:p>
        </w:tc>
        <w:tc>
          <w:tcPr>
            <w:tcW w:w="4930" w:type="dxa"/>
            <w:noWrap w:val="0"/>
            <w:vAlign w:val="center"/>
          </w:tcPr>
          <w:p>
            <w:pPr>
              <w:wordWrap w:val="0"/>
              <w:topLinePunct/>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1、投标人具有</w:t>
            </w:r>
            <w:r>
              <w:rPr>
                <w:rFonts w:hint="eastAsia" w:ascii="宋体" w:hAnsi="宋体" w:eastAsia="宋体" w:cs="宋体"/>
                <w:color w:val="auto"/>
                <w:sz w:val="24"/>
                <w:highlight w:val="none"/>
              </w:rPr>
              <w:t>中国合格评定国家认可委员会颁</w:t>
            </w:r>
            <w:r>
              <w:rPr>
                <w:rFonts w:hint="eastAsia" w:ascii="宋体" w:hAnsi="宋体" w:eastAsia="宋体" w:cs="宋体"/>
                <w:color w:val="auto"/>
                <w:sz w:val="24"/>
                <w:highlight w:val="none"/>
                <w:lang w:val="en-US" w:eastAsia="zh-CN"/>
              </w:rPr>
              <w:t>发</w:t>
            </w:r>
            <w:r>
              <w:rPr>
                <w:rFonts w:hint="eastAsia" w:ascii="宋体" w:hAnsi="宋体" w:eastAsia="宋体" w:cs="宋体"/>
                <w:color w:val="auto"/>
                <w:sz w:val="24"/>
                <w:highlight w:val="none"/>
              </w:rPr>
              <w:t>的实验室认可证书</w:t>
            </w:r>
            <w:r>
              <w:rPr>
                <w:rFonts w:hint="eastAsia" w:ascii="宋体" w:hAnsi="宋体" w:eastAsia="宋体" w:cs="宋体"/>
                <w:color w:val="auto"/>
                <w:sz w:val="24"/>
                <w:highlight w:val="none"/>
                <w:lang w:val="en-US" w:eastAsia="zh-CN"/>
              </w:rPr>
              <w:t>的得4分</w:t>
            </w:r>
            <w:r>
              <w:rPr>
                <w:rFonts w:hint="eastAsia" w:ascii="宋体" w:hAnsi="宋体" w:eastAsia="宋体" w:cs="宋体"/>
                <w:color w:val="auto"/>
                <w:sz w:val="24"/>
                <w:highlight w:val="none"/>
              </w:rPr>
              <w:t>。</w:t>
            </w:r>
          </w:p>
          <w:p>
            <w:pPr>
              <w:wordWrap w:val="0"/>
              <w:topLinePunct/>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bCs/>
                <w:color w:val="auto"/>
                <w:sz w:val="24"/>
                <w:szCs w:val="24"/>
                <w:highlight w:val="none"/>
              </w:rPr>
              <w:t>投标人具有省级及以上市场监督管理局颁发的检验检测机构资质认定证书</w:t>
            </w:r>
            <w:r>
              <w:rPr>
                <w:rFonts w:hint="eastAsia" w:ascii="宋体" w:hAnsi="宋体" w:eastAsia="宋体" w:cs="宋体"/>
                <w:bCs/>
                <w:color w:val="auto"/>
                <w:sz w:val="24"/>
                <w:szCs w:val="24"/>
                <w:highlight w:val="none"/>
                <w:lang w:val="en-US" w:eastAsia="zh-CN"/>
              </w:rPr>
              <w:t>的得4分</w:t>
            </w:r>
            <w:r>
              <w:rPr>
                <w:rFonts w:hint="eastAsia" w:ascii="宋体" w:hAnsi="宋体" w:eastAsia="宋体" w:cs="宋体"/>
                <w:color w:val="auto"/>
                <w:sz w:val="24"/>
                <w:highlight w:val="none"/>
              </w:rPr>
              <w:t>。</w:t>
            </w:r>
          </w:p>
          <w:p>
            <w:pPr>
              <w:wordWrap w:val="0"/>
              <w:topLinePunct/>
              <w:spacing w:line="360" w:lineRule="auto"/>
              <w:rPr>
                <w:rFonts w:hint="eastAsia" w:ascii="宋体" w:hAnsi="宋体" w:eastAsia="宋体" w:cs="宋体"/>
                <w:b/>
                <w:color w:val="auto"/>
                <w:sz w:val="24"/>
                <w:szCs w:val="24"/>
                <w:highlight w:val="none"/>
                <w:lang w:val="en-US" w:eastAsia="zh-CN" w:bidi="ar-SA"/>
              </w:rPr>
            </w:pPr>
            <w:r>
              <w:rPr>
                <w:rFonts w:hint="eastAsia" w:ascii="宋体" w:hAnsi="宋体" w:eastAsia="宋体" w:cs="宋体"/>
                <w:color w:val="auto"/>
                <w:sz w:val="24"/>
                <w:highlight w:val="none"/>
                <w:lang w:val="en-US" w:eastAsia="zh-CN"/>
              </w:rPr>
              <w:t>本项最高得8</w:t>
            </w:r>
            <w:r>
              <w:rPr>
                <w:rFonts w:hint="eastAsia" w:ascii="宋体" w:hAnsi="宋体" w:eastAsia="宋体" w:cs="宋体"/>
                <w:color w:val="auto"/>
                <w:sz w:val="24"/>
                <w:highlight w:val="none"/>
              </w:rPr>
              <w:t>分。</w:t>
            </w:r>
          </w:p>
        </w:tc>
        <w:tc>
          <w:tcPr>
            <w:tcW w:w="2511" w:type="dxa"/>
            <w:noWrap w:val="0"/>
            <w:vAlign w:val="center"/>
          </w:tcPr>
          <w:p>
            <w:pPr>
              <w:wordWrap w:val="0"/>
              <w:topLinePunct/>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提供</w:t>
            </w:r>
            <w:r>
              <w:rPr>
                <w:rFonts w:hint="eastAsia" w:ascii="宋体" w:hAnsi="宋体" w:eastAsia="宋体" w:cs="宋体"/>
                <w:color w:val="auto"/>
                <w:sz w:val="24"/>
                <w:highlight w:val="none"/>
                <w:lang w:val="en-US" w:eastAsia="zh-CN"/>
              </w:rPr>
              <w:t>有效的</w:t>
            </w:r>
            <w:r>
              <w:rPr>
                <w:rFonts w:hint="eastAsia" w:ascii="宋体" w:hAnsi="宋体" w:eastAsia="宋体" w:cs="宋体"/>
                <w:color w:val="auto"/>
                <w:sz w:val="24"/>
                <w:highlight w:val="none"/>
              </w:rPr>
              <w:t>证书复印件并加盖</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公章。</w:t>
            </w:r>
          </w:p>
        </w:tc>
      </w:tr>
    </w:tbl>
    <w:p>
      <w:pPr>
        <w:widowControl/>
        <w:shd w:val="clear" w:color="auto" w:fill="FFFFFF"/>
        <w:wordWrap w:val="0"/>
        <w:spacing w:line="360" w:lineRule="auto"/>
        <w:jc w:val="left"/>
        <w:rPr>
          <w:rFonts w:cs="Segoe UI" w:asciiTheme="minorEastAsia" w:hAnsiTheme="minorEastAsia"/>
          <w:color w:val="333333"/>
          <w:kern w:val="0"/>
          <w:sz w:val="18"/>
          <w:szCs w:val="18"/>
        </w:rPr>
      </w:pPr>
    </w:p>
    <w:p>
      <w:pPr>
        <w:widowControl/>
        <w:shd w:val="clear" w:color="auto" w:fill="FFFFFF"/>
        <w:wordWrap w:val="0"/>
        <w:spacing w:line="360" w:lineRule="auto"/>
        <w:jc w:val="left"/>
        <w:rPr>
          <w:rFonts w:cs="Segoe UI" w:asciiTheme="minorEastAsia" w:hAnsiTheme="minorEastAsia"/>
          <w:color w:val="333333"/>
          <w:kern w:val="0"/>
          <w:sz w:val="32"/>
          <w:szCs w:val="32"/>
        </w:rPr>
      </w:pPr>
    </w:p>
    <w:p>
      <w:pPr>
        <w:widowControl/>
        <w:shd w:val="clear" w:color="auto" w:fill="FFFFFF"/>
        <w:wordWrap w:val="0"/>
        <w:spacing w:line="360" w:lineRule="auto"/>
        <w:jc w:val="left"/>
        <w:rPr>
          <w:rFonts w:cs="Segoe UI" w:asciiTheme="minorEastAsia" w:hAnsiTheme="minorEastAsia"/>
          <w:b/>
          <w:color w:val="333333"/>
          <w:kern w:val="0"/>
          <w:sz w:val="30"/>
          <w:szCs w:val="30"/>
        </w:rPr>
      </w:pPr>
      <w:r>
        <w:rPr>
          <w:rFonts w:hint="eastAsia" w:cs="Segoe UI" w:asciiTheme="minorEastAsia" w:hAnsiTheme="minorEastAsia"/>
          <w:b/>
          <w:color w:val="333333"/>
          <w:kern w:val="0"/>
          <w:sz w:val="30"/>
          <w:szCs w:val="30"/>
        </w:rPr>
        <w:t>附件</w:t>
      </w:r>
      <w:r>
        <w:rPr>
          <w:rFonts w:hint="eastAsia" w:cs="Segoe UI" w:asciiTheme="minorEastAsia" w:hAnsiTheme="minorEastAsia"/>
          <w:b/>
          <w:color w:val="333333"/>
          <w:kern w:val="0"/>
          <w:sz w:val="30"/>
          <w:szCs w:val="30"/>
          <w:lang w:val="en-US" w:eastAsia="zh-CN"/>
        </w:rPr>
        <w:t>3</w:t>
      </w:r>
      <w:r>
        <w:rPr>
          <w:rFonts w:hint="eastAsia" w:cs="Segoe UI" w:asciiTheme="minorEastAsia" w:hAnsiTheme="minorEastAsia"/>
          <w:b/>
          <w:color w:val="333333"/>
          <w:kern w:val="0"/>
          <w:sz w:val="30"/>
          <w:szCs w:val="30"/>
        </w:rPr>
        <w:t>：</w:t>
      </w:r>
      <w:r>
        <w:rPr>
          <w:rFonts w:hint="eastAsia" w:cs="Segoe UI" w:asciiTheme="minorEastAsia" w:hAnsiTheme="minorEastAsia"/>
          <w:b/>
          <w:bCs/>
          <w:color w:val="333333"/>
          <w:kern w:val="0"/>
          <w:sz w:val="30"/>
          <w:szCs w:val="30"/>
        </w:rPr>
        <w:t>主要表格格式</w:t>
      </w:r>
    </w:p>
    <w:p>
      <w:pPr>
        <w:widowControl/>
        <w:shd w:val="clear" w:color="auto" w:fill="FFFFFF"/>
        <w:spacing w:line="360" w:lineRule="auto"/>
        <w:jc w:val="center"/>
        <w:rPr>
          <w:rFonts w:hint="eastAsia" w:cs="Segoe UI" w:asciiTheme="minorEastAsia" w:hAnsiTheme="minorEastAsia"/>
          <w:b/>
          <w:bCs/>
          <w:color w:val="333333"/>
          <w:kern w:val="0"/>
          <w:sz w:val="30"/>
          <w:szCs w:val="30"/>
        </w:rPr>
      </w:pPr>
      <w:r>
        <w:rPr>
          <w:rFonts w:hint="eastAsia" w:cs="Segoe UI" w:asciiTheme="minorEastAsia" w:hAnsiTheme="minorEastAsia"/>
          <w:b/>
          <w:bCs/>
          <w:color w:val="333333"/>
          <w:kern w:val="0"/>
          <w:sz w:val="30"/>
          <w:szCs w:val="30"/>
        </w:rPr>
        <w:t>品目及报价表</w:t>
      </w:r>
    </w:p>
    <w:tbl>
      <w:tblPr>
        <w:tblStyle w:val="11"/>
        <w:tblW w:w="4998" w:type="pct"/>
        <w:tblInd w:w="0" w:type="dxa"/>
        <w:tblLayout w:type="autofit"/>
        <w:tblCellMar>
          <w:top w:w="0" w:type="dxa"/>
          <w:left w:w="0" w:type="dxa"/>
          <w:bottom w:w="0" w:type="dxa"/>
          <w:right w:w="0" w:type="dxa"/>
        </w:tblCellMar>
      </w:tblPr>
      <w:tblGrid>
        <w:gridCol w:w="827"/>
        <w:gridCol w:w="4999"/>
        <w:gridCol w:w="2507"/>
      </w:tblGrid>
      <w:tr>
        <w:tblPrEx>
          <w:tblCellMar>
            <w:top w:w="0" w:type="dxa"/>
            <w:left w:w="0" w:type="dxa"/>
            <w:bottom w:w="0" w:type="dxa"/>
            <w:right w:w="0" w:type="dxa"/>
          </w:tblCellMar>
        </w:tblPrEx>
        <w:trPr>
          <w:trHeight w:val="386"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序号</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检定项目</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0"/>
                <w:sz w:val="24"/>
                <w:szCs w:val="24"/>
                <w:highlight w:val="none"/>
                <w:lang w:bidi="ar"/>
              </w:rPr>
            </w:pPr>
            <w:r>
              <w:rPr>
                <w:rFonts w:hint="eastAsia" w:ascii="宋体" w:hAnsi="宋体" w:eastAsia="宋体" w:cs="宋体"/>
                <w:b/>
                <w:color w:val="auto"/>
                <w:kern w:val="0"/>
                <w:sz w:val="24"/>
                <w:szCs w:val="24"/>
                <w:highlight w:val="none"/>
                <w:lang w:bidi="ar"/>
              </w:rPr>
              <w:t>单价（元</w:t>
            </w:r>
            <w:r>
              <w:rPr>
                <w:rFonts w:hint="eastAsia" w:ascii="宋体" w:hAnsi="宋体" w:eastAsia="宋体" w:cs="宋体"/>
                <w:b/>
                <w:color w:val="auto"/>
                <w:kern w:val="0"/>
                <w:sz w:val="24"/>
                <w:szCs w:val="24"/>
                <w:highlight w:val="none"/>
                <w:lang w:val="en-US" w:eastAsia="zh-CN" w:bidi="ar"/>
              </w:rPr>
              <w:t>/台</w:t>
            </w:r>
            <w:r>
              <w:rPr>
                <w:rFonts w:hint="eastAsia" w:ascii="宋体" w:hAnsi="宋体" w:eastAsia="宋体" w:cs="宋体"/>
                <w:b/>
                <w:color w:val="auto"/>
                <w:kern w:val="0"/>
                <w:sz w:val="24"/>
                <w:szCs w:val="24"/>
                <w:highlight w:val="none"/>
                <w:lang w:bidi="ar"/>
              </w:rPr>
              <w:t>）</w:t>
            </w:r>
          </w:p>
        </w:tc>
      </w:tr>
      <w:tr>
        <w:tblPrEx>
          <w:tblCellMar>
            <w:top w:w="0" w:type="dxa"/>
            <w:left w:w="0" w:type="dxa"/>
            <w:bottom w:w="0" w:type="dxa"/>
            <w:right w:w="0" w:type="dxa"/>
          </w:tblCellMar>
        </w:tblPrEx>
        <w:trPr>
          <w:trHeight w:val="366"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冰箱</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低温冰箱</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超低温冰箱</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超低温保存箱</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电热恒温培养箱</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隔水式恒温培养箱</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孵育箱</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冷藏冷冻柜</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冷藏冷冻箱</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冷冻冰箱</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立式低温保存箱</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12</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立式冷藏柜</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13</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立式冷藏箱</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14</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低温冰柜</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15</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冷冻冰柜</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16</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冷冻冷藏箱</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17</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立式超低温保存箱</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18</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卧式冷藏柜</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19</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冷冻切片机</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20</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深低温冰箱</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21</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药品保存箱</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22</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医用低温保存箱</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23</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医用冷藏箱</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24</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转换型冷藏/冷冻箱</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25</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霉菌培养箱</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26</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CO2培养箱</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27</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尿液分析仪</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28</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全自动生化分析仪</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29</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电热恒温振荡水槽</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30</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化浆机</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31</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电热恒温水浴箱</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32</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三用恒温水箱</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33</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生化培养箱</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34</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生物安全柜</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35</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水浴锅</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36</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摇床</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37</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烘箱</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38</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灭菌器</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39</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电子体温计</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40</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冰箱温度计</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41</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数码双路温度计</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42</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温湿度记录仪</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43</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红外线测温仪</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44</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数显测温仪</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45</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数显温湿度表</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46</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温湿度表</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47</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数字温度计</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48</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智能温度采集器</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49</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电解质分析仪</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50</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在线电导率仪</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51</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在线电阻率仪</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52</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自动定量灌装机</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53</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体重秤</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54</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电子体重秤</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55</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电子婴儿秤</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56</w:t>
            </w:r>
          </w:p>
        </w:tc>
        <w:tc>
          <w:tcPr>
            <w:tcW w:w="299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血细胞分析仪</w:t>
            </w:r>
          </w:p>
        </w:tc>
        <w:tc>
          <w:tcPr>
            <w:tcW w:w="150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57</w:t>
            </w:r>
          </w:p>
        </w:tc>
        <w:tc>
          <w:tcPr>
            <w:tcW w:w="299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超声波体检机</w:t>
            </w:r>
          </w:p>
        </w:tc>
        <w:tc>
          <w:tcPr>
            <w:tcW w:w="150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58</w:t>
            </w:r>
          </w:p>
        </w:tc>
        <w:tc>
          <w:tcPr>
            <w:tcW w:w="299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电子地中衡</w:t>
            </w:r>
          </w:p>
        </w:tc>
        <w:tc>
          <w:tcPr>
            <w:tcW w:w="150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59</w:t>
            </w:r>
          </w:p>
        </w:tc>
        <w:tc>
          <w:tcPr>
            <w:tcW w:w="299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电子台秤</w:t>
            </w:r>
          </w:p>
        </w:tc>
        <w:tc>
          <w:tcPr>
            <w:tcW w:w="150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60</w:t>
            </w:r>
          </w:p>
        </w:tc>
        <w:tc>
          <w:tcPr>
            <w:tcW w:w="299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台秤</w:t>
            </w:r>
          </w:p>
        </w:tc>
        <w:tc>
          <w:tcPr>
            <w:tcW w:w="150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61</w:t>
            </w:r>
          </w:p>
        </w:tc>
        <w:tc>
          <w:tcPr>
            <w:tcW w:w="299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电子天平</w:t>
            </w:r>
          </w:p>
        </w:tc>
        <w:tc>
          <w:tcPr>
            <w:tcW w:w="150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rPr>
          <w:trHeight w:val="11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62</w:t>
            </w:r>
          </w:p>
        </w:tc>
        <w:tc>
          <w:tcPr>
            <w:tcW w:w="299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麻醉机</w:t>
            </w:r>
          </w:p>
        </w:tc>
        <w:tc>
          <w:tcPr>
            <w:tcW w:w="150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63</w:t>
            </w:r>
          </w:p>
        </w:tc>
        <w:tc>
          <w:tcPr>
            <w:tcW w:w="299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电动吸引器</w:t>
            </w:r>
          </w:p>
        </w:tc>
        <w:tc>
          <w:tcPr>
            <w:tcW w:w="150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64</w:t>
            </w:r>
          </w:p>
        </w:tc>
        <w:tc>
          <w:tcPr>
            <w:tcW w:w="299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架盘天平</w:t>
            </w:r>
          </w:p>
        </w:tc>
        <w:tc>
          <w:tcPr>
            <w:tcW w:w="150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65</w:t>
            </w:r>
          </w:p>
        </w:tc>
        <w:tc>
          <w:tcPr>
            <w:tcW w:w="299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托盘扭力天平</w:t>
            </w:r>
          </w:p>
        </w:tc>
        <w:tc>
          <w:tcPr>
            <w:tcW w:w="150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66</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原子荧光光度计</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67</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荧光分光光度计</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68</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紫外可见分光光度计</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69</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酸度计</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70</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液相色谱仪</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71</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液相色谱-质谱联用仪</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72</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气相色谱</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73</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气相色谱质谱联用</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74</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可调移液器</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75</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定量移液器  </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76</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移液器（8道）</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77</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瓶口分液器</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78</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离心机</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79</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酶标仪</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80</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显微镜</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81</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荧光显微镜</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82</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游标卡尺</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83</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分度吸量管</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84</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滴定管</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85</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量筒</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86</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浮标式氧气吸入器</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87</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中心供氧氧气吸入器</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88</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医用彩色多普勒超声诊断仪</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89</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医用超声诊断仪超声源</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90</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胎儿监护仪</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91</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除颤仪</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92</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注射泵（单通道）</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93</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注射泵（双通道）</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94</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输液泵</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95</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高频电刀</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96</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呼吸机</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97</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婴儿培养箱</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98</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血液透析机</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99</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肺功能仪</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100</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医用激光源</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101</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核磁共振成像系统</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102</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在线COD</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103</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在线氨氮</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104</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在线总磷、总氮</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105</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一氧化碳</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106</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二氧化碳</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107</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电位滴定仪</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108</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ICP</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109</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ICP-MS</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110</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电导</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111</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溶解氧</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112</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原子吸收</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113</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旋光仪</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114</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水分仪</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115</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洗板机</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116</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高压灭菌器（压力部分）</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117</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高压灭菌器（安全阀）</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118</w:t>
            </w:r>
          </w:p>
        </w:tc>
        <w:tc>
          <w:tcPr>
            <w:tcW w:w="29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安全阀</w:t>
            </w:r>
          </w:p>
        </w:tc>
        <w:tc>
          <w:tcPr>
            <w:tcW w:w="15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119</w:t>
            </w:r>
          </w:p>
        </w:tc>
        <w:tc>
          <w:tcPr>
            <w:tcW w:w="299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测听室</w:t>
            </w:r>
          </w:p>
        </w:tc>
        <w:tc>
          <w:tcPr>
            <w:tcW w:w="150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20</w:t>
            </w:r>
          </w:p>
        </w:tc>
        <w:tc>
          <w:tcPr>
            <w:tcW w:w="299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超声骨密度仪</w:t>
            </w:r>
          </w:p>
        </w:tc>
        <w:tc>
          <w:tcPr>
            <w:tcW w:w="150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21</w:t>
            </w:r>
          </w:p>
        </w:tc>
        <w:tc>
          <w:tcPr>
            <w:tcW w:w="299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zh-CN" w:bidi="ar"/>
              </w:rPr>
              <w:t>射线骨密度仪</w:t>
            </w:r>
          </w:p>
        </w:tc>
        <w:tc>
          <w:tcPr>
            <w:tcW w:w="150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eastAsia="zh-CN"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22</w:t>
            </w:r>
          </w:p>
        </w:tc>
        <w:tc>
          <w:tcPr>
            <w:tcW w:w="299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化学发光免疫分析仪</w:t>
            </w:r>
          </w:p>
        </w:tc>
        <w:tc>
          <w:tcPr>
            <w:tcW w:w="150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12</w:t>
            </w:r>
            <w:r>
              <w:rPr>
                <w:rFonts w:hint="eastAsia" w:ascii="宋体" w:hAnsi="宋体" w:eastAsia="宋体" w:cs="宋体"/>
                <w:color w:val="auto"/>
                <w:kern w:val="0"/>
                <w:sz w:val="24"/>
                <w:szCs w:val="24"/>
                <w:highlight w:val="none"/>
                <w:lang w:val="en-US" w:eastAsia="zh-CN" w:bidi="ar"/>
              </w:rPr>
              <w:t>3</w:t>
            </w:r>
          </w:p>
        </w:tc>
        <w:tc>
          <w:tcPr>
            <w:tcW w:w="299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PCR仪</w:t>
            </w:r>
          </w:p>
        </w:tc>
        <w:tc>
          <w:tcPr>
            <w:tcW w:w="150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24</w:t>
            </w:r>
          </w:p>
        </w:tc>
        <w:tc>
          <w:tcPr>
            <w:tcW w:w="299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核酸提取仪</w:t>
            </w:r>
          </w:p>
        </w:tc>
        <w:tc>
          <w:tcPr>
            <w:tcW w:w="150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25</w:t>
            </w:r>
          </w:p>
        </w:tc>
        <w:tc>
          <w:tcPr>
            <w:tcW w:w="299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清洗消毒机</w:t>
            </w:r>
          </w:p>
        </w:tc>
        <w:tc>
          <w:tcPr>
            <w:tcW w:w="150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26</w:t>
            </w:r>
          </w:p>
        </w:tc>
        <w:tc>
          <w:tcPr>
            <w:tcW w:w="299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脉动真空灭菌器</w:t>
            </w:r>
          </w:p>
        </w:tc>
        <w:tc>
          <w:tcPr>
            <w:tcW w:w="150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27</w:t>
            </w:r>
          </w:p>
        </w:tc>
        <w:tc>
          <w:tcPr>
            <w:tcW w:w="299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环氧乙烷灭菌器</w:t>
            </w:r>
          </w:p>
        </w:tc>
        <w:tc>
          <w:tcPr>
            <w:tcW w:w="150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13"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28</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酒精含量检测仪（检定）</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39" w:hRule="atLeast"/>
        </w:trPr>
        <w:tc>
          <w:tcPr>
            <w:tcW w:w="4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29</w:t>
            </w:r>
          </w:p>
        </w:tc>
        <w:tc>
          <w:tcPr>
            <w:tcW w:w="29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空盒气压表</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r>
        <w:tblPrEx>
          <w:tblCellMar>
            <w:top w:w="0" w:type="dxa"/>
            <w:left w:w="0" w:type="dxa"/>
            <w:bottom w:w="0" w:type="dxa"/>
            <w:right w:w="0" w:type="dxa"/>
          </w:tblCellMar>
        </w:tblPrEx>
        <w:trPr>
          <w:trHeight w:val="139" w:hRule="atLeast"/>
        </w:trPr>
        <w:tc>
          <w:tcPr>
            <w:tcW w:w="349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合计：</w:t>
            </w:r>
          </w:p>
        </w:tc>
        <w:tc>
          <w:tcPr>
            <w:tcW w:w="15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highlight w:val="none"/>
                <w:lang w:bidi="ar"/>
              </w:rPr>
            </w:pPr>
          </w:p>
        </w:tc>
      </w:tr>
    </w:tbl>
    <w:p>
      <w:pPr>
        <w:widowControl/>
        <w:shd w:val="clear" w:color="auto" w:fill="FFFFFF"/>
        <w:wordWrap w:val="0"/>
        <w:spacing w:line="360" w:lineRule="auto"/>
        <w:jc w:val="left"/>
        <w:rPr>
          <w:rFonts w:cs="Segoe UI" w:asciiTheme="minorEastAsia" w:hAnsiTheme="minorEastAsia"/>
          <w:color w:val="333333"/>
          <w:kern w:val="0"/>
          <w:sz w:val="24"/>
          <w:szCs w:val="24"/>
        </w:rPr>
      </w:pPr>
    </w:p>
    <w:p>
      <w:pPr>
        <w:pStyle w:val="8"/>
        <w:rPr>
          <w:rFonts w:ascii="黑体" w:hAnsi="黑体" w:eastAsia="黑体"/>
          <w:sz w:val="21"/>
          <w:szCs w:val="21"/>
        </w:rPr>
      </w:pPr>
      <w:r>
        <w:rPr>
          <w:rFonts w:hint="eastAsia" w:ascii="黑体" w:hAnsi="黑体" w:eastAsia="黑体"/>
          <w:sz w:val="21"/>
          <w:szCs w:val="21"/>
        </w:rPr>
        <w:t>【说明】</w:t>
      </w:r>
    </w:p>
    <w:p>
      <w:pPr>
        <w:pStyle w:val="8"/>
        <w:ind w:right="-57" w:rightChars="-27"/>
        <w:rPr>
          <w:rFonts w:ascii="黑体" w:hAnsi="黑体" w:eastAsia="黑体"/>
          <w:sz w:val="21"/>
          <w:szCs w:val="21"/>
        </w:rPr>
      </w:pPr>
      <w:r>
        <w:rPr>
          <w:rFonts w:hint="eastAsia" w:ascii="黑体" w:hAnsi="黑体" w:eastAsia="黑体"/>
          <w:sz w:val="21"/>
          <w:szCs w:val="21"/>
        </w:rPr>
        <w:t>报价应是最终用户验收合格后的总价，包括设备运输、保险、代理、安装调试、培训、税费、系统集成费用和采购文件规定的其它费用。</w:t>
      </w:r>
    </w:p>
    <w:p>
      <w:pPr>
        <w:widowControl/>
        <w:shd w:val="clear" w:color="auto" w:fill="FFFFFF"/>
        <w:wordWrap w:val="0"/>
        <w:jc w:val="left"/>
        <w:rPr>
          <w:rFonts w:ascii="仿宋" w:hAnsi="仿宋" w:eastAsia="仿宋"/>
          <w:sz w:val="24"/>
        </w:rPr>
      </w:pP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法定责任人或授权代表：</w:t>
      </w:r>
      <w:r>
        <w:rPr>
          <w:rFonts w:hint="eastAsia" w:asciiTheme="minorEastAsia" w:hAnsiTheme="minorEastAsia"/>
          <w:sz w:val="24"/>
          <w:u w:val="single"/>
        </w:rPr>
        <w:t xml:space="preserve">      （签名）    </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napToGrid w:val="0"/>
        <w:jc w:val="left"/>
        <w:outlineLvl w:val="1"/>
        <w:rPr>
          <w:rFonts w:ascii="仿宋" w:hAnsi="仿宋" w:eastAsia="仿宋"/>
          <w:sz w:val="24"/>
        </w:rPr>
      </w:pPr>
    </w:p>
    <w:p>
      <w:pPr>
        <w:widowControl/>
        <w:shd w:val="clear" w:color="auto" w:fill="FFFFFF"/>
        <w:wordWrap w:val="0"/>
        <w:jc w:val="left"/>
        <w:rPr>
          <w:rFonts w:hint="eastAsia" w:ascii="Segoe UI" w:hAnsi="Segoe UI" w:eastAsia="黑体" w:cs="Segoe UI"/>
          <w:b/>
          <w:color w:val="333333"/>
          <w:kern w:val="0"/>
          <w:sz w:val="18"/>
          <w:szCs w:val="18"/>
          <w:lang w:eastAsia="zh-CN"/>
        </w:rPr>
      </w:pPr>
      <w:r>
        <w:rPr>
          <w:rFonts w:hint="eastAsia" w:ascii="黑体" w:hAnsi="黑体" w:eastAsia="黑体" w:cs="Segoe UI"/>
          <w:b/>
          <w:color w:val="333333"/>
          <w:kern w:val="0"/>
          <w:sz w:val="32"/>
          <w:szCs w:val="32"/>
        </w:rPr>
        <w:t>附件</w:t>
      </w:r>
      <w:r>
        <w:rPr>
          <w:rFonts w:hint="eastAsia" w:ascii="黑体" w:hAnsi="黑体" w:eastAsia="黑体" w:cs="Segoe UI"/>
          <w:b/>
          <w:color w:val="333333"/>
          <w:kern w:val="0"/>
          <w:sz w:val="32"/>
          <w:szCs w:val="32"/>
          <w:lang w:val="en-US" w:eastAsia="zh-CN"/>
        </w:rPr>
        <w:t>4</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技术</w:t>
      </w:r>
      <w:r>
        <w:rPr>
          <w:rFonts w:hint="eastAsia" w:ascii="黑体" w:hAnsi="黑体" w:eastAsia="黑体" w:cs="Segoe UI"/>
          <w:b/>
          <w:color w:val="333333"/>
          <w:kern w:val="0"/>
          <w:sz w:val="32"/>
          <w:szCs w:val="32"/>
          <w:lang w:eastAsia="zh-CN"/>
        </w:rPr>
        <w:t>服务</w:t>
      </w:r>
      <w:r>
        <w:rPr>
          <w:rFonts w:hint="eastAsia" w:ascii="黑体" w:hAnsi="黑体" w:eastAsia="黑体" w:cs="Segoe UI"/>
          <w:b/>
          <w:color w:val="333333"/>
          <w:kern w:val="0"/>
          <w:sz w:val="32"/>
          <w:szCs w:val="32"/>
        </w:rPr>
        <w:t>要求应答表</w:t>
      </w:r>
    </w:p>
    <w:tbl>
      <w:tblPr>
        <w:tblStyle w:val="11"/>
        <w:tblW w:w="8346" w:type="dxa"/>
        <w:jc w:val="center"/>
        <w:tblLayout w:type="fixed"/>
        <w:tblCellMar>
          <w:top w:w="0" w:type="dxa"/>
          <w:left w:w="0" w:type="dxa"/>
          <w:bottom w:w="0" w:type="dxa"/>
          <w:right w:w="0" w:type="dxa"/>
        </w:tblCellMar>
      </w:tblPr>
      <w:tblGrid>
        <w:gridCol w:w="1256"/>
        <w:gridCol w:w="2855"/>
        <w:gridCol w:w="2855"/>
        <w:gridCol w:w="1380"/>
      </w:tblGrid>
      <w:tr>
        <w:tblPrEx>
          <w:tblCellMar>
            <w:top w:w="0" w:type="dxa"/>
            <w:left w:w="0" w:type="dxa"/>
            <w:bottom w:w="0" w:type="dxa"/>
            <w:right w:w="0" w:type="dxa"/>
          </w:tblCellMar>
        </w:tblPrEx>
        <w:trPr>
          <w:trHeight w:val="600" w:hRule="atLeast"/>
          <w:jc w:val="center"/>
        </w:trPr>
        <w:tc>
          <w:tcPr>
            <w:tcW w:w="1256"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ascii="宋体" w:hAnsi="宋体" w:eastAsia="宋体" w:cs="宋体"/>
                <w:sz w:val="24"/>
              </w:rPr>
              <w:t>序号</w:t>
            </w:r>
          </w:p>
        </w:tc>
        <w:tc>
          <w:tcPr>
            <w:tcW w:w="2855"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ascii="宋体" w:hAnsi="宋体" w:eastAsia="宋体" w:cs="宋体"/>
                <w:sz w:val="24"/>
              </w:rPr>
              <w:t>招标要求</w:t>
            </w:r>
          </w:p>
        </w:tc>
        <w:tc>
          <w:tcPr>
            <w:tcW w:w="2855"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ascii="宋体" w:hAnsi="宋体" w:eastAsia="宋体" w:cs="宋体"/>
                <w:sz w:val="24"/>
              </w:rPr>
              <w:t>投标响应</w:t>
            </w:r>
          </w:p>
        </w:tc>
        <w:tc>
          <w:tcPr>
            <w:tcW w:w="1380"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wordWrap w:val="0"/>
              <w:jc w:val="center"/>
              <w:rPr>
                <w:rFonts w:cs="宋体" w:asciiTheme="minorEastAsia" w:hAnsiTheme="minorEastAsia"/>
                <w:kern w:val="0"/>
                <w:sz w:val="18"/>
                <w:szCs w:val="18"/>
              </w:rPr>
            </w:pPr>
            <w:r>
              <w:rPr>
                <w:rFonts w:hint="eastAsia" w:cs="宋体" w:asciiTheme="minorEastAsia" w:hAnsiTheme="minorEastAsia"/>
                <w:kern w:val="0"/>
                <w:sz w:val="24"/>
                <w:szCs w:val="24"/>
              </w:rPr>
              <w:t>响应/偏离</w:t>
            </w:r>
          </w:p>
        </w:tc>
      </w:tr>
      <w:tr>
        <w:tblPrEx>
          <w:tblCellMar>
            <w:top w:w="0" w:type="dxa"/>
            <w:left w:w="0" w:type="dxa"/>
            <w:bottom w:w="0" w:type="dxa"/>
            <w:right w:w="0" w:type="dxa"/>
          </w:tblCellMar>
        </w:tblPrEx>
        <w:trPr>
          <w:trHeight w:val="465" w:hRule="atLeast"/>
          <w:jc w:val="center"/>
        </w:trPr>
        <w:tc>
          <w:tcPr>
            <w:tcW w:w="12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13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r>
      <w:tr>
        <w:tblPrEx>
          <w:tblCellMar>
            <w:top w:w="0" w:type="dxa"/>
            <w:left w:w="0" w:type="dxa"/>
            <w:bottom w:w="0" w:type="dxa"/>
            <w:right w:w="0" w:type="dxa"/>
          </w:tblCellMar>
        </w:tblPrEx>
        <w:trPr>
          <w:trHeight w:val="465" w:hRule="atLeast"/>
          <w:jc w:val="center"/>
        </w:trPr>
        <w:tc>
          <w:tcPr>
            <w:tcW w:w="12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r>
              <w:rPr>
                <w:rFonts w:ascii="仿宋_GB2312" w:hAnsi="宋体" w:eastAsia="仿宋_GB2312" w:cs="宋体"/>
                <w:kern w:val="0"/>
                <w:sz w:val="24"/>
                <w:szCs w:val="24"/>
              </w:rPr>
              <w:t>……</w:t>
            </w: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28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c>
          <w:tcPr>
            <w:tcW w:w="13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wordWrap w:val="0"/>
              <w:jc w:val="center"/>
              <w:rPr>
                <w:rFonts w:ascii="仿宋_GB2312" w:hAnsi="宋体" w:eastAsia="仿宋_GB2312" w:cs="宋体"/>
                <w:kern w:val="0"/>
                <w:sz w:val="24"/>
                <w:szCs w:val="24"/>
              </w:rPr>
            </w:pPr>
          </w:p>
        </w:tc>
      </w:tr>
    </w:tbl>
    <w:p>
      <w:pPr>
        <w:pStyle w:val="8"/>
        <w:rPr>
          <w:rFonts w:ascii="黑体" w:hAnsi="黑体" w:eastAsia="黑体"/>
          <w:sz w:val="21"/>
          <w:szCs w:val="21"/>
        </w:rPr>
      </w:pPr>
      <w:r>
        <w:rPr>
          <w:rFonts w:hint="eastAsia" w:ascii="黑体" w:hAnsi="黑体" w:eastAsia="黑体"/>
          <w:sz w:val="21"/>
          <w:szCs w:val="21"/>
        </w:rPr>
        <w:t>【说明】</w:t>
      </w:r>
    </w:p>
    <w:p>
      <w:pPr>
        <w:pStyle w:val="8"/>
        <w:rPr>
          <w:rFonts w:ascii="黑体" w:hAnsi="黑体" w:eastAsia="黑体"/>
          <w:sz w:val="21"/>
          <w:szCs w:val="21"/>
        </w:rPr>
      </w:pPr>
      <w:r>
        <w:rPr>
          <w:rFonts w:hint="eastAsia" w:ascii="黑体" w:hAnsi="黑体" w:eastAsia="黑体"/>
          <w:sz w:val="21"/>
          <w:szCs w:val="21"/>
        </w:rPr>
        <w:t>1．此表要求投标文件与招标文件要求一一对应、逐一列出；</w:t>
      </w:r>
    </w:p>
    <w:p>
      <w:pPr>
        <w:pStyle w:val="8"/>
        <w:rPr>
          <w:rFonts w:ascii="黑体" w:hAnsi="黑体" w:eastAsia="黑体"/>
          <w:sz w:val="21"/>
          <w:szCs w:val="21"/>
        </w:rPr>
      </w:pPr>
      <w:r>
        <w:rPr>
          <w:rFonts w:hint="eastAsia" w:ascii="黑体" w:hAnsi="黑体" w:eastAsia="黑体"/>
          <w:sz w:val="21"/>
          <w:szCs w:val="21"/>
        </w:rPr>
        <w:t>2．投标文件中与招标文件要求有负偏离的内容必须在此表中列出，否则视为无效投标。投标人必须据实填写，不得虚假响应，否则投标无效并按规定追究其相关责任。</w:t>
      </w:r>
    </w:p>
    <w:p>
      <w:pPr>
        <w:widowControl/>
        <w:shd w:val="clear" w:color="auto" w:fill="FFFFFF"/>
        <w:wordWrap w:val="0"/>
        <w:jc w:val="left"/>
        <w:rPr>
          <w:rFonts w:ascii="Segoe UI" w:hAnsi="Segoe UI" w:eastAsia="宋体" w:cs="Segoe UI"/>
          <w:color w:val="333333"/>
          <w:kern w:val="0"/>
          <w:sz w:val="18"/>
          <w:szCs w:val="18"/>
        </w:rPr>
      </w:pP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法定责任人或授权代表：</w:t>
      </w:r>
      <w:r>
        <w:rPr>
          <w:rFonts w:hint="eastAsia" w:asciiTheme="minorEastAsia" w:hAnsiTheme="minorEastAsia"/>
          <w:sz w:val="24"/>
          <w:u w:val="single"/>
        </w:rPr>
        <w:t xml:space="preserve">     （签名）    </w:t>
      </w:r>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hd w:val="clear" w:color="auto" w:fill="FFFFFF"/>
        <w:wordWrap w:val="0"/>
        <w:jc w:val="center"/>
        <w:rPr>
          <w:rFonts w:ascii="黑体" w:hAnsi="黑体" w:eastAsia="黑体" w:cs="Segoe UI"/>
          <w:color w:val="333333"/>
          <w:kern w:val="0"/>
          <w:sz w:val="32"/>
          <w:szCs w:val="32"/>
        </w:rPr>
      </w:pPr>
    </w:p>
    <w:p>
      <w:pPr>
        <w:widowControl/>
        <w:shd w:val="clear" w:color="auto" w:fill="FFFFFF"/>
        <w:wordWrap w:val="0"/>
        <w:jc w:val="left"/>
        <w:rPr>
          <w:rFonts w:hint="eastAsia" w:ascii="Segoe UI" w:hAnsi="Segoe UI" w:eastAsia="黑体" w:cs="Segoe UI"/>
          <w:b/>
          <w:color w:val="333333"/>
          <w:kern w:val="0"/>
          <w:sz w:val="18"/>
          <w:szCs w:val="18"/>
          <w:lang w:eastAsia="zh-CN"/>
        </w:rPr>
      </w:pPr>
      <w:bookmarkStart w:id="0" w:name="_Toc95295163"/>
      <w:r>
        <w:rPr>
          <w:rFonts w:hint="eastAsia" w:ascii="黑体" w:hAnsi="黑体" w:eastAsia="黑体" w:cs="Segoe UI"/>
          <w:b/>
          <w:color w:val="333333"/>
          <w:kern w:val="0"/>
          <w:sz w:val="32"/>
          <w:szCs w:val="32"/>
        </w:rPr>
        <w:t>附件</w:t>
      </w:r>
      <w:r>
        <w:rPr>
          <w:rFonts w:hint="eastAsia" w:ascii="黑体" w:hAnsi="黑体" w:eastAsia="黑体" w:cs="Segoe UI"/>
          <w:b/>
          <w:color w:val="333333"/>
          <w:kern w:val="0"/>
          <w:sz w:val="32"/>
          <w:szCs w:val="32"/>
          <w:lang w:val="en-US" w:eastAsia="zh-CN"/>
        </w:rPr>
        <w:t>5</w:t>
      </w:r>
    </w:p>
    <w:p>
      <w:pPr>
        <w:widowControl/>
        <w:shd w:val="clear" w:color="auto" w:fill="FFFFFF"/>
        <w:wordWrap w:val="0"/>
        <w:jc w:val="center"/>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法定代表人授权书</w:t>
      </w:r>
      <w:bookmarkEnd w:id="0"/>
    </w:p>
    <w:p>
      <w:pPr>
        <w:widowControl/>
        <w:snapToGrid w:val="0"/>
        <w:spacing w:line="360" w:lineRule="auto"/>
        <w:jc w:val="left"/>
        <w:outlineLvl w:val="1"/>
        <w:rPr>
          <w:rFonts w:asciiTheme="minorEastAsia" w:hAnsiTheme="minorEastAsia"/>
          <w:sz w:val="24"/>
        </w:rPr>
      </w:pPr>
      <w:r>
        <w:rPr>
          <w:rFonts w:hint="eastAsia" w:asciiTheme="minorEastAsia" w:hAnsiTheme="minorEastAsia"/>
          <w:sz w:val="24"/>
        </w:rPr>
        <w:t>四川省妇幼保健院：</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本人</w:t>
      </w:r>
      <w:r>
        <w:rPr>
          <w:rFonts w:hint="eastAsia" w:asciiTheme="minorEastAsia" w:hAnsiTheme="minorEastAsia"/>
          <w:sz w:val="24"/>
          <w:u w:val="single"/>
        </w:rPr>
        <w:t xml:space="preserve"> （授权人姓名）  </w:t>
      </w:r>
      <w:r>
        <w:rPr>
          <w:rFonts w:hint="eastAsia" w:asciiTheme="minorEastAsia" w:hAnsiTheme="minorEastAsia"/>
          <w:sz w:val="24"/>
        </w:rPr>
        <w:t>系</w:t>
      </w:r>
      <w:r>
        <w:rPr>
          <w:rFonts w:hint="eastAsia" w:asciiTheme="minorEastAsia" w:hAnsiTheme="minorEastAsia"/>
          <w:sz w:val="24"/>
          <w:u w:val="single"/>
        </w:rPr>
        <w:t xml:space="preserve">   （投标人全称）   </w:t>
      </w:r>
      <w:r>
        <w:rPr>
          <w:rFonts w:hint="eastAsia" w:asciiTheme="minorEastAsia" w:hAnsiTheme="minorEastAsia"/>
          <w:sz w:val="24"/>
        </w:rPr>
        <w:t>的</w:t>
      </w:r>
      <w:r>
        <w:rPr>
          <w:rFonts w:hint="eastAsia" w:asciiTheme="minorEastAsia" w:hAnsiTheme="minorEastAsia"/>
          <w:sz w:val="24"/>
          <w:u w:val="single"/>
        </w:rPr>
        <w:t xml:space="preserve">  （职务）  </w:t>
      </w:r>
      <w:r>
        <w:rPr>
          <w:rFonts w:hint="eastAsia" w:asciiTheme="minorEastAsia" w:hAnsiTheme="minorEastAsia"/>
          <w:sz w:val="24"/>
        </w:rPr>
        <w:t>，现授权</w:t>
      </w:r>
      <w:r>
        <w:rPr>
          <w:rFonts w:hint="eastAsia" w:asciiTheme="minorEastAsia" w:hAnsiTheme="minorEastAsia"/>
          <w:sz w:val="24"/>
          <w:u w:val="single"/>
        </w:rPr>
        <w:t xml:space="preserve">  （被授权人姓名）  </w:t>
      </w:r>
      <w:r>
        <w:rPr>
          <w:rFonts w:hint="eastAsia" w:asciiTheme="minorEastAsia" w:hAnsiTheme="minorEastAsia"/>
          <w:sz w:val="24"/>
        </w:rPr>
        <w:t>作为授权代表参加贵院组织的</w:t>
      </w:r>
      <w:r>
        <w:rPr>
          <w:rFonts w:hint="eastAsia" w:asciiTheme="minorEastAsia" w:hAnsiTheme="minorEastAsia"/>
          <w:sz w:val="24"/>
          <w:u w:val="single"/>
        </w:rPr>
        <w:t xml:space="preserve">  （项目名称）  </w:t>
      </w:r>
      <w:r>
        <w:rPr>
          <w:rFonts w:hint="eastAsia" w:asciiTheme="minorEastAsia" w:hAnsiTheme="minorEastAsia"/>
          <w:sz w:val="24"/>
        </w:rPr>
        <w:t>项目（项目编号：</w:t>
      </w:r>
      <w:r>
        <w:rPr>
          <w:rFonts w:hint="eastAsia" w:asciiTheme="minorEastAsia" w:hAnsiTheme="minorEastAsia"/>
          <w:sz w:val="24"/>
          <w:u w:val="single"/>
        </w:rPr>
        <w:t xml:space="preserve">            </w:t>
      </w:r>
      <w:r>
        <w:rPr>
          <w:rFonts w:hint="eastAsia" w:asciiTheme="minorEastAsia" w:hAnsiTheme="minorEastAsia"/>
          <w:sz w:val="24"/>
        </w:rPr>
        <w:t>）投标活动，全权代表本投标人处理响应过程的一切事宜，包括但不限于：响应、参与开标、签约等。授权代表在响应过程中所签署的一切文件和处理与之有关的一切事务，本投标人均予以认可并对此承担责任。授权代表无转委托权。</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特此授权，本授权书自出具之日起生效。</w:t>
      </w:r>
    </w:p>
    <w:p>
      <w:pPr>
        <w:pStyle w:val="8"/>
        <w:spacing w:line="360" w:lineRule="auto"/>
        <w:rPr>
          <w:rFonts w:ascii="黑体" w:hAnsi="黑体" w:eastAsia="黑体"/>
          <w:sz w:val="21"/>
          <w:szCs w:val="21"/>
        </w:rPr>
      </w:pPr>
      <w:r>
        <w:rPr>
          <w:rFonts w:hint="eastAsia" w:ascii="黑体" w:hAnsi="黑体" w:eastAsia="黑体"/>
          <w:sz w:val="21"/>
          <w:szCs w:val="21"/>
        </w:rPr>
        <w:t>【说明】上述证明文件附有法定代表人、被授权代表身份证复印件（加盖公章）时才能生效。</w:t>
      </w:r>
    </w:p>
    <w:p>
      <w:pPr>
        <w:widowControl/>
        <w:snapToGrid w:val="0"/>
        <w:spacing w:line="360" w:lineRule="auto"/>
        <w:ind w:firstLine="480" w:firstLineChars="200"/>
        <w:jc w:val="left"/>
        <w:outlineLvl w:val="1"/>
        <w:rPr>
          <w:rFonts w:asciiTheme="minorEastAsia" w:hAnsiTheme="minorEastAsia"/>
          <w:sz w:val="24"/>
        </w:rPr>
      </w:pP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法定代表人：</w:t>
      </w:r>
      <w:r>
        <w:rPr>
          <w:rFonts w:hint="eastAsia" w:asciiTheme="minorEastAsia" w:hAnsiTheme="minorEastAsia"/>
          <w:sz w:val="24"/>
          <w:u w:val="single"/>
        </w:rPr>
        <w:t xml:space="preserve">    （签名或盖章）  </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授权代表：</w:t>
      </w:r>
      <w:r>
        <w:rPr>
          <w:rFonts w:hint="eastAsia" w:asciiTheme="minorEastAsia" w:hAnsiTheme="minorEastAsia"/>
          <w:sz w:val="24"/>
          <w:u w:val="single"/>
        </w:rPr>
        <w:t xml:space="preserve">        （签名）       </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授权日期：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hd w:val="clear" w:color="auto" w:fill="FFFFFF"/>
        <w:wordWrap w:val="0"/>
        <w:jc w:val="left"/>
        <w:rPr>
          <w:rFonts w:ascii="宋体" w:hAnsi="宋体" w:eastAsia="宋体" w:cs="Segoe UI"/>
          <w:color w:val="333333"/>
          <w:kern w:val="0"/>
          <w:sz w:val="24"/>
          <w:szCs w:val="24"/>
        </w:rPr>
      </w:pPr>
    </w:p>
    <w:p>
      <w:pPr>
        <w:widowControl/>
        <w:shd w:val="clear" w:color="auto" w:fill="FFFFFF"/>
        <w:wordWrap w:val="0"/>
        <w:jc w:val="left"/>
        <w:rPr>
          <w:rFonts w:ascii="Segoe UI" w:hAnsi="Segoe UI" w:eastAsia="宋体" w:cs="Segoe UI"/>
          <w:color w:val="333333"/>
          <w:kern w:val="0"/>
          <w:sz w:val="18"/>
          <w:szCs w:val="18"/>
        </w:rPr>
      </w:pPr>
      <w:r>
        <w:rPr>
          <w:rFonts w:hint="eastAsia" w:ascii="黑体" w:hAnsi="黑体" w:eastAsia="黑体" w:cs="Segoe UI"/>
          <w:b/>
          <w:color w:val="333333"/>
          <w:kern w:val="0"/>
          <w:sz w:val="32"/>
          <w:szCs w:val="32"/>
        </w:rPr>
        <w:t>附件</w:t>
      </w:r>
      <w:r>
        <w:rPr>
          <w:rFonts w:hint="eastAsia" w:ascii="黑体" w:hAnsi="黑体" w:eastAsia="黑体" w:cs="Segoe UI"/>
          <w:b/>
          <w:color w:val="333333"/>
          <w:kern w:val="0"/>
          <w:sz w:val="32"/>
          <w:szCs w:val="32"/>
          <w:lang w:val="en-US" w:eastAsia="zh-CN"/>
        </w:rPr>
        <w:t>6</w:t>
      </w:r>
      <w:r>
        <w:rPr>
          <w:rFonts w:hint="eastAsia" w:ascii="宋体" w:hAnsi="宋体" w:eastAsia="宋体" w:cs="Segoe UI"/>
          <w:color w:val="333333"/>
          <w:kern w:val="0"/>
          <w:sz w:val="24"/>
          <w:szCs w:val="24"/>
        </w:rPr>
        <w:t> </w:t>
      </w:r>
    </w:p>
    <w:p>
      <w:pPr>
        <w:pStyle w:val="27"/>
        <w:snapToGrid w:val="0"/>
        <w:spacing w:beforeLines="100" w:afterLines="100" w:line="240" w:lineRule="auto"/>
        <w:ind w:firstLine="0" w:firstLineChars="0"/>
        <w:jc w:val="center"/>
        <w:rPr>
          <w:rFonts w:ascii="黑体" w:hAnsi="黑体" w:eastAsia="黑体"/>
          <w:b/>
          <w:sz w:val="32"/>
          <w:szCs w:val="32"/>
        </w:rPr>
      </w:pPr>
      <w:bookmarkStart w:id="1" w:name="_Hlk47353806"/>
      <w:r>
        <w:rPr>
          <w:rFonts w:hint="eastAsia" w:ascii="黑体" w:hAnsi="黑体" w:eastAsia="黑体"/>
          <w:b/>
          <w:sz w:val="32"/>
          <w:szCs w:val="32"/>
        </w:rPr>
        <w:t>良好的商业信誉和</w:t>
      </w:r>
      <w:r>
        <w:rPr>
          <w:rFonts w:ascii="黑体" w:hAnsi="黑体" w:eastAsia="黑体"/>
          <w:b/>
          <w:sz w:val="32"/>
          <w:szCs w:val="32"/>
        </w:rPr>
        <w:t>健全的财务会计制度</w:t>
      </w:r>
      <w:r>
        <w:rPr>
          <w:rFonts w:hint="eastAsia" w:ascii="黑体" w:hAnsi="黑体" w:eastAsia="黑体"/>
          <w:b/>
          <w:sz w:val="32"/>
          <w:szCs w:val="32"/>
        </w:rPr>
        <w:t>的承诺函</w:t>
      </w:r>
      <w:bookmarkEnd w:id="1"/>
    </w:p>
    <w:p>
      <w:pPr>
        <w:snapToGrid w:val="0"/>
        <w:spacing w:line="360" w:lineRule="auto"/>
        <w:rPr>
          <w:rFonts w:asciiTheme="minorEastAsia" w:hAnsiTheme="minorEastAsia"/>
          <w:sz w:val="24"/>
          <w:szCs w:val="24"/>
        </w:rPr>
      </w:pPr>
      <w:r>
        <w:rPr>
          <w:rFonts w:hint="eastAsia" w:asciiTheme="minorEastAsia" w:hAnsiTheme="minorEastAsia"/>
          <w:sz w:val="24"/>
          <w:szCs w:val="24"/>
        </w:rPr>
        <w:t>四川省妇幼保健院：</w:t>
      </w:r>
    </w:p>
    <w:p>
      <w:pPr>
        <w:snapToGrid w:val="0"/>
        <w:spacing w:afterLines="50" w:line="360" w:lineRule="auto"/>
        <w:ind w:firstLine="480" w:firstLineChars="200"/>
        <w:rPr>
          <w:rFonts w:asciiTheme="minorEastAsia" w:hAnsiTheme="minorEastAsia"/>
          <w:sz w:val="24"/>
        </w:rPr>
      </w:pPr>
      <w:r>
        <w:rPr>
          <w:rFonts w:hint="eastAsia" w:asciiTheme="minorEastAsia" w:hAnsiTheme="minorEastAsia"/>
          <w:sz w:val="24"/>
        </w:rPr>
        <w:t>本</w:t>
      </w:r>
      <w:r>
        <w:rPr>
          <w:rFonts w:hint="eastAsia" w:asciiTheme="minorEastAsia" w:hAnsiTheme="minorEastAsia"/>
          <w:sz w:val="24"/>
          <w:szCs w:val="24"/>
        </w:rPr>
        <w:t>投标人</w:t>
      </w:r>
      <w:r>
        <w:rPr>
          <w:rFonts w:hint="eastAsia" w:asciiTheme="minorEastAsia" w:hAnsiTheme="minorEastAsia"/>
          <w:sz w:val="24"/>
          <w:u w:val="single"/>
        </w:rPr>
        <w:t xml:space="preserve">      （投标人全称）        </w:t>
      </w:r>
      <w:r>
        <w:rPr>
          <w:rFonts w:hint="eastAsia" w:asciiTheme="minorEastAsia" w:hAnsiTheme="minorEastAsia"/>
          <w:sz w:val="24"/>
        </w:rPr>
        <w:t>参加</w:t>
      </w:r>
      <w:r>
        <w:rPr>
          <w:rFonts w:hint="eastAsia" w:asciiTheme="minorEastAsia" w:hAnsiTheme="minorEastAsia"/>
          <w:sz w:val="24"/>
          <w:u w:val="single"/>
        </w:rPr>
        <w:t xml:space="preserve">   （项目名称）   </w:t>
      </w:r>
      <w:r>
        <w:rPr>
          <w:rFonts w:hint="eastAsia" w:asciiTheme="minorEastAsia" w:hAnsiTheme="minorEastAsia"/>
          <w:sz w:val="24"/>
        </w:rPr>
        <w:t>（项目编号：</w:t>
      </w:r>
      <w:r>
        <w:rPr>
          <w:rFonts w:hint="eastAsia" w:asciiTheme="minorEastAsia" w:hAnsiTheme="minorEastAsia"/>
          <w:sz w:val="24"/>
          <w:u w:val="single"/>
        </w:rPr>
        <w:t xml:space="preserve">            </w:t>
      </w:r>
      <w:r>
        <w:rPr>
          <w:rFonts w:hint="eastAsia" w:asciiTheme="minorEastAsia" w:hAnsiTheme="minorEastAsia"/>
          <w:sz w:val="24"/>
        </w:rPr>
        <w:t>）的</w:t>
      </w:r>
      <w:r>
        <w:rPr>
          <w:rFonts w:hint="eastAsia" w:asciiTheme="minorEastAsia" w:hAnsiTheme="minorEastAsia"/>
          <w:sz w:val="24"/>
          <w:szCs w:val="24"/>
        </w:rPr>
        <w:t>磋商</w:t>
      </w:r>
      <w:r>
        <w:rPr>
          <w:rFonts w:hint="eastAsia" w:asciiTheme="minorEastAsia" w:hAnsiTheme="minorEastAsia"/>
          <w:sz w:val="24"/>
        </w:rPr>
        <w:t>活动，现郑重承诺：</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本投标人具有良好的商业信誉和</w:t>
      </w:r>
      <w:r>
        <w:rPr>
          <w:rFonts w:asciiTheme="minorEastAsia" w:hAnsiTheme="minorEastAsia"/>
          <w:sz w:val="24"/>
          <w:szCs w:val="24"/>
        </w:rPr>
        <w:t>健全的财务会计制度</w:t>
      </w:r>
      <w:r>
        <w:rPr>
          <w:rFonts w:hint="eastAsia" w:asciiTheme="minorEastAsia" w:hAnsiTheme="minorEastAsia"/>
          <w:sz w:val="24"/>
          <w:szCs w:val="24"/>
        </w:rPr>
        <w:t>。</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特此承诺。</w:t>
      </w:r>
    </w:p>
    <w:p>
      <w:pPr>
        <w:snapToGrid w:val="0"/>
        <w:spacing w:line="360" w:lineRule="auto"/>
        <w:ind w:firstLine="480" w:firstLineChars="200"/>
        <w:rPr>
          <w:rFonts w:asciiTheme="minorEastAsia" w:hAnsiTheme="minorEastAsia"/>
          <w:sz w:val="24"/>
          <w:szCs w:val="24"/>
        </w:rPr>
      </w:pP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法定代表人或授权代表：</w:t>
      </w:r>
      <w:r>
        <w:rPr>
          <w:rFonts w:hint="eastAsia" w:asciiTheme="minorEastAsia" w:hAnsiTheme="minorEastAsia"/>
          <w:sz w:val="24"/>
          <w:u w:val="single"/>
        </w:rPr>
        <w:t xml:space="preserve">        （签名）       </w:t>
      </w:r>
    </w:p>
    <w:p>
      <w:pPr>
        <w:widowControl/>
        <w:snapToGrid w:val="0"/>
        <w:ind w:firstLine="480" w:firstLineChars="200"/>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pStyle w:val="27"/>
        <w:snapToGrid w:val="0"/>
        <w:spacing w:line="240" w:lineRule="auto"/>
        <w:ind w:firstLine="0" w:firstLineChars="0"/>
        <w:rPr>
          <w:rFonts w:ascii="楷体" w:hAnsi="楷体" w:eastAsia="楷体"/>
          <w:b/>
          <w:sz w:val="32"/>
          <w:szCs w:val="32"/>
        </w:rPr>
      </w:pPr>
    </w:p>
    <w:p>
      <w:pPr>
        <w:widowControl/>
        <w:shd w:val="clear" w:color="auto" w:fill="FFFFFF"/>
        <w:wordWrap w:val="0"/>
        <w:jc w:val="left"/>
        <w:rPr>
          <w:rFonts w:hint="eastAsia" w:ascii="黑体" w:hAnsi="黑体" w:eastAsia="黑体" w:cs="Segoe UI"/>
          <w:b/>
          <w:color w:val="333333"/>
          <w:kern w:val="0"/>
          <w:sz w:val="32"/>
          <w:szCs w:val="32"/>
          <w:lang w:eastAsia="zh-CN"/>
        </w:rPr>
      </w:pPr>
      <w:r>
        <w:rPr>
          <w:rFonts w:hint="eastAsia" w:ascii="黑体" w:hAnsi="黑体" w:eastAsia="黑体" w:cs="Segoe UI"/>
          <w:b/>
          <w:color w:val="333333"/>
          <w:kern w:val="0"/>
          <w:sz w:val="32"/>
          <w:szCs w:val="32"/>
        </w:rPr>
        <w:t>附件</w:t>
      </w:r>
      <w:r>
        <w:rPr>
          <w:rFonts w:hint="eastAsia" w:ascii="黑体" w:hAnsi="黑体" w:eastAsia="黑体" w:cs="Segoe UI"/>
          <w:b/>
          <w:color w:val="333333"/>
          <w:kern w:val="0"/>
          <w:sz w:val="32"/>
          <w:szCs w:val="32"/>
          <w:lang w:val="en-US" w:eastAsia="zh-CN"/>
        </w:rPr>
        <w:t>7</w:t>
      </w:r>
    </w:p>
    <w:p>
      <w:pPr>
        <w:widowControl/>
        <w:shd w:val="clear" w:color="auto" w:fill="FFFFFF"/>
        <w:wordWrap w:val="0"/>
        <w:jc w:val="center"/>
        <w:rPr>
          <w:rFonts w:ascii="黑体" w:hAnsi="黑体" w:eastAsia="黑体" w:cs="Segoe UI"/>
          <w:b/>
          <w:color w:val="333333"/>
          <w:kern w:val="0"/>
          <w:sz w:val="32"/>
          <w:szCs w:val="32"/>
        </w:rPr>
      </w:pPr>
      <w:r>
        <w:rPr>
          <w:rFonts w:hint="eastAsia" w:ascii="黑体" w:hAnsi="黑体" w:eastAsia="黑体" w:cs="Segoe UI"/>
          <w:b/>
          <w:color w:val="333333"/>
          <w:kern w:val="0"/>
          <w:sz w:val="32"/>
          <w:szCs w:val="32"/>
        </w:rPr>
        <w:t>履行合同所必需的设备和专业技术能力的承诺函</w:t>
      </w:r>
    </w:p>
    <w:p>
      <w:pPr>
        <w:snapToGrid w:val="0"/>
        <w:spacing w:beforeLines="150" w:line="360" w:lineRule="auto"/>
        <w:rPr>
          <w:rFonts w:asciiTheme="minorEastAsia" w:hAnsiTheme="minorEastAsia"/>
          <w:sz w:val="24"/>
          <w:szCs w:val="24"/>
        </w:rPr>
      </w:pPr>
      <w:r>
        <w:rPr>
          <w:rFonts w:hint="eastAsia" w:asciiTheme="minorEastAsia" w:hAnsiTheme="minorEastAsia"/>
          <w:sz w:val="24"/>
          <w:szCs w:val="24"/>
        </w:rPr>
        <w:t>四川省妇幼保健院：</w:t>
      </w:r>
    </w:p>
    <w:p>
      <w:pPr>
        <w:snapToGrid w:val="0"/>
        <w:spacing w:afterLines="50" w:line="360" w:lineRule="auto"/>
        <w:ind w:firstLine="480" w:firstLineChars="200"/>
        <w:rPr>
          <w:rFonts w:asciiTheme="minorEastAsia" w:hAnsiTheme="minorEastAsia"/>
          <w:sz w:val="24"/>
        </w:rPr>
      </w:pPr>
      <w:r>
        <w:rPr>
          <w:rFonts w:hint="eastAsia" w:asciiTheme="minorEastAsia" w:hAnsiTheme="minorEastAsia"/>
          <w:sz w:val="24"/>
        </w:rPr>
        <w:t>本</w:t>
      </w:r>
      <w:r>
        <w:rPr>
          <w:rFonts w:hint="eastAsia" w:asciiTheme="minorEastAsia" w:hAnsiTheme="minorEastAsia"/>
          <w:sz w:val="24"/>
          <w:szCs w:val="24"/>
        </w:rPr>
        <w:t>投标人</w:t>
      </w:r>
      <w:r>
        <w:rPr>
          <w:rFonts w:hint="eastAsia" w:asciiTheme="minorEastAsia" w:hAnsiTheme="minorEastAsia"/>
          <w:sz w:val="24"/>
          <w:u w:val="single"/>
        </w:rPr>
        <w:t xml:space="preserve">     （投标人全称）     </w:t>
      </w:r>
      <w:r>
        <w:rPr>
          <w:rFonts w:hint="eastAsia" w:asciiTheme="minorEastAsia" w:hAnsiTheme="minorEastAsia"/>
          <w:sz w:val="24"/>
        </w:rPr>
        <w:t>参加</w:t>
      </w:r>
      <w:r>
        <w:rPr>
          <w:rFonts w:hint="eastAsia" w:asciiTheme="minorEastAsia" w:hAnsiTheme="minorEastAsia"/>
          <w:sz w:val="24"/>
          <w:u w:val="single"/>
        </w:rPr>
        <w:t xml:space="preserve">   （项目名称）   </w:t>
      </w:r>
      <w:r>
        <w:rPr>
          <w:rFonts w:hint="eastAsia" w:asciiTheme="minorEastAsia" w:hAnsiTheme="minorEastAsia"/>
          <w:sz w:val="24"/>
        </w:rPr>
        <w:t>（项目编号：</w:t>
      </w:r>
      <w:r>
        <w:rPr>
          <w:rFonts w:hint="eastAsia" w:asciiTheme="minorEastAsia" w:hAnsiTheme="minorEastAsia"/>
          <w:sz w:val="24"/>
          <w:u w:val="single"/>
        </w:rPr>
        <w:t xml:space="preserve">            </w:t>
      </w:r>
      <w:r>
        <w:rPr>
          <w:rFonts w:hint="eastAsia" w:asciiTheme="minorEastAsia" w:hAnsiTheme="minorEastAsia"/>
          <w:sz w:val="24"/>
        </w:rPr>
        <w:t>）的</w:t>
      </w:r>
      <w:r>
        <w:rPr>
          <w:rFonts w:hint="eastAsia" w:asciiTheme="minorEastAsia" w:hAnsiTheme="minorEastAsia"/>
          <w:sz w:val="24"/>
          <w:szCs w:val="24"/>
        </w:rPr>
        <w:t>磋商</w:t>
      </w:r>
      <w:r>
        <w:rPr>
          <w:rFonts w:hint="eastAsia" w:asciiTheme="minorEastAsia" w:hAnsiTheme="minorEastAsia"/>
          <w:sz w:val="24"/>
        </w:rPr>
        <w:t>活动，现郑重承诺：</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本投标人具有履行合同所必需的设备和专业技术能力。</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特此承诺。</w:t>
      </w:r>
    </w:p>
    <w:p>
      <w:pPr>
        <w:snapToGrid w:val="0"/>
        <w:spacing w:line="360" w:lineRule="auto"/>
        <w:ind w:firstLine="480" w:firstLineChars="200"/>
        <w:rPr>
          <w:rFonts w:asciiTheme="minorEastAsia" w:hAnsiTheme="minorEastAsia"/>
          <w:sz w:val="24"/>
          <w:szCs w:val="24"/>
        </w:rPr>
      </w:pP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法定代表人或授权代表：</w:t>
      </w:r>
      <w:r>
        <w:rPr>
          <w:rFonts w:hint="eastAsia" w:asciiTheme="minorEastAsia" w:hAnsiTheme="minorEastAsia"/>
          <w:sz w:val="24"/>
          <w:u w:val="single"/>
        </w:rPr>
        <w:t xml:space="preserve">        （签名）       </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napToGrid w:val="0"/>
        <w:spacing w:line="360" w:lineRule="auto"/>
        <w:ind w:firstLine="480" w:firstLineChars="200"/>
        <w:jc w:val="left"/>
        <w:outlineLvl w:val="1"/>
        <w:rPr>
          <w:rFonts w:asciiTheme="minorEastAsia" w:hAnsiTheme="minorEastAsia"/>
          <w:sz w:val="24"/>
        </w:rPr>
      </w:pPr>
    </w:p>
    <w:p>
      <w:pPr>
        <w:widowControl/>
        <w:shd w:val="clear" w:color="auto" w:fill="FFFFFF"/>
        <w:jc w:val="left"/>
        <w:rPr>
          <w:rFonts w:hint="eastAsia" w:ascii="黑体" w:hAnsi="黑体" w:eastAsia="黑体" w:cs="Segoe UI"/>
          <w:b/>
          <w:color w:val="333333"/>
          <w:kern w:val="0"/>
          <w:sz w:val="32"/>
          <w:szCs w:val="32"/>
          <w:lang w:eastAsia="zh-CN"/>
        </w:rPr>
      </w:pPr>
      <w:r>
        <w:rPr>
          <w:rFonts w:hint="eastAsia" w:ascii="黑体" w:hAnsi="黑体" w:eastAsia="黑体" w:cs="Segoe UI"/>
          <w:b/>
          <w:color w:val="333333"/>
          <w:kern w:val="0"/>
          <w:sz w:val="32"/>
          <w:szCs w:val="32"/>
        </w:rPr>
        <w:t>附件</w:t>
      </w:r>
      <w:r>
        <w:rPr>
          <w:rFonts w:hint="eastAsia" w:ascii="黑体" w:hAnsi="黑体" w:eastAsia="黑体" w:cs="Segoe UI"/>
          <w:b/>
          <w:color w:val="333333"/>
          <w:kern w:val="0"/>
          <w:sz w:val="32"/>
          <w:szCs w:val="32"/>
          <w:lang w:val="en-US" w:eastAsia="zh-CN"/>
        </w:rPr>
        <w:t>8</w:t>
      </w:r>
    </w:p>
    <w:p>
      <w:pPr>
        <w:pStyle w:val="27"/>
        <w:snapToGrid w:val="0"/>
        <w:spacing w:beforeLines="100" w:afterLines="100" w:line="240" w:lineRule="auto"/>
        <w:ind w:firstLine="0" w:firstLineChars="0"/>
        <w:jc w:val="center"/>
        <w:rPr>
          <w:rFonts w:ascii="黑体" w:hAnsi="黑体" w:eastAsia="黑体"/>
          <w:b/>
          <w:sz w:val="30"/>
          <w:szCs w:val="30"/>
        </w:rPr>
      </w:pPr>
      <w:r>
        <w:rPr>
          <w:rFonts w:hint="eastAsia" w:ascii="黑体" w:hAnsi="黑体" w:eastAsia="黑体"/>
          <w:b/>
          <w:sz w:val="30"/>
          <w:szCs w:val="30"/>
        </w:rPr>
        <w:t>依法缴纳税收和社会保障资金的良好记录的承诺函</w:t>
      </w:r>
    </w:p>
    <w:p>
      <w:pPr>
        <w:snapToGrid w:val="0"/>
        <w:spacing w:beforeLines="150" w:afterLines="50" w:line="360" w:lineRule="auto"/>
        <w:rPr>
          <w:rFonts w:asciiTheme="minorEastAsia" w:hAnsiTheme="minorEastAsia"/>
          <w:sz w:val="24"/>
          <w:szCs w:val="24"/>
        </w:rPr>
      </w:pPr>
      <w:r>
        <w:rPr>
          <w:rFonts w:hint="eastAsia" w:asciiTheme="minorEastAsia" w:hAnsiTheme="minorEastAsia"/>
          <w:sz w:val="24"/>
          <w:szCs w:val="24"/>
        </w:rPr>
        <w:t>四川省妇幼保健院：</w:t>
      </w:r>
    </w:p>
    <w:p>
      <w:pPr>
        <w:snapToGrid w:val="0"/>
        <w:spacing w:line="360" w:lineRule="auto"/>
        <w:ind w:firstLine="480" w:firstLineChars="200"/>
        <w:rPr>
          <w:rFonts w:asciiTheme="minorEastAsia" w:hAnsiTheme="minorEastAsia"/>
          <w:sz w:val="24"/>
        </w:rPr>
      </w:pPr>
      <w:r>
        <w:rPr>
          <w:rFonts w:hint="eastAsia" w:asciiTheme="minorEastAsia" w:hAnsiTheme="minorEastAsia"/>
          <w:sz w:val="24"/>
        </w:rPr>
        <w:t>本</w:t>
      </w:r>
      <w:r>
        <w:rPr>
          <w:rFonts w:hint="eastAsia" w:asciiTheme="minorEastAsia" w:hAnsiTheme="minorEastAsia"/>
          <w:sz w:val="24"/>
          <w:szCs w:val="24"/>
        </w:rPr>
        <w:t>投标人</w:t>
      </w:r>
      <w:r>
        <w:rPr>
          <w:rFonts w:hint="eastAsia" w:asciiTheme="minorEastAsia" w:hAnsiTheme="minorEastAsia"/>
          <w:sz w:val="24"/>
          <w:u w:val="single"/>
        </w:rPr>
        <w:t xml:space="preserve">     （投标人全称）     </w:t>
      </w:r>
      <w:r>
        <w:rPr>
          <w:rFonts w:hint="eastAsia" w:asciiTheme="minorEastAsia" w:hAnsiTheme="minorEastAsia"/>
          <w:sz w:val="24"/>
        </w:rPr>
        <w:t>参加</w:t>
      </w:r>
      <w:r>
        <w:rPr>
          <w:rFonts w:hint="eastAsia" w:asciiTheme="minorEastAsia" w:hAnsiTheme="minorEastAsia"/>
          <w:sz w:val="24"/>
          <w:u w:val="single"/>
        </w:rPr>
        <w:t xml:space="preserve">   （项目名称）   </w:t>
      </w:r>
      <w:r>
        <w:rPr>
          <w:rFonts w:hint="eastAsia" w:asciiTheme="minorEastAsia" w:hAnsiTheme="minorEastAsia"/>
          <w:sz w:val="24"/>
        </w:rPr>
        <w:t>（项目编号：</w:t>
      </w:r>
      <w:r>
        <w:rPr>
          <w:rFonts w:hint="eastAsia" w:asciiTheme="minorEastAsia" w:hAnsiTheme="minorEastAsia"/>
          <w:sz w:val="24"/>
          <w:u w:val="single"/>
        </w:rPr>
        <w:t xml:space="preserve">            </w:t>
      </w:r>
      <w:r>
        <w:rPr>
          <w:rFonts w:hint="eastAsia" w:asciiTheme="minorEastAsia" w:hAnsiTheme="minorEastAsia"/>
          <w:sz w:val="24"/>
        </w:rPr>
        <w:t>）的</w:t>
      </w:r>
      <w:r>
        <w:rPr>
          <w:rFonts w:hint="eastAsia" w:asciiTheme="minorEastAsia" w:hAnsiTheme="minorEastAsia"/>
          <w:sz w:val="24"/>
          <w:szCs w:val="24"/>
        </w:rPr>
        <w:t>磋商</w:t>
      </w:r>
      <w:r>
        <w:rPr>
          <w:rFonts w:hint="eastAsia" w:asciiTheme="minorEastAsia" w:hAnsiTheme="minorEastAsia"/>
          <w:sz w:val="24"/>
        </w:rPr>
        <w:t>活动，现郑重承诺：</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本投标人依法缴纳税收和社会保障资金。</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特此承诺。</w:t>
      </w:r>
    </w:p>
    <w:p>
      <w:pPr>
        <w:snapToGrid w:val="0"/>
        <w:spacing w:line="360" w:lineRule="auto"/>
        <w:ind w:firstLine="480" w:firstLineChars="200"/>
        <w:rPr>
          <w:rFonts w:ascii="仿宋" w:hAnsi="仿宋" w:eastAsia="仿宋"/>
          <w:sz w:val="24"/>
          <w:szCs w:val="24"/>
        </w:rPr>
      </w:pP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投标人名称：</w:t>
      </w:r>
      <w:r>
        <w:rPr>
          <w:rFonts w:hint="eastAsia" w:asciiTheme="minorEastAsia" w:hAnsiTheme="minorEastAsia"/>
          <w:sz w:val="24"/>
          <w:u w:val="single"/>
        </w:rPr>
        <w:t xml:space="preserve">  （投标人全称）  </w:t>
      </w:r>
      <w:r>
        <w:rPr>
          <w:rFonts w:hint="eastAsia" w:asciiTheme="minorEastAsia" w:hAnsiTheme="minorEastAsia"/>
          <w:sz w:val="24"/>
        </w:rPr>
        <w:t>（加盖公章）</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法定代表人或授权代表：</w:t>
      </w:r>
      <w:r>
        <w:rPr>
          <w:rFonts w:hint="eastAsia" w:asciiTheme="minorEastAsia" w:hAnsiTheme="minorEastAsia"/>
          <w:sz w:val="24"/>
          <w:u w:val="single"/>
        </w:rPr>
        <w:t xml:space="preserve">        （签名）       </w:t>
      </w:r>
    </w:p>
    <w:p>
      <w:pPr>
        <w:widowControl/>
        <w:snapToGrid w:val="0"/>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日期：</w:t>
      </w:r>
      <w:r>
        <w:rPr>
          <w:rFonts w:hint="eastAsia" w:asciiTheme="minorEastAsia" w:hAnsiTheme="minorEastAsia"/>
          <w:sz w:val="24"/>
          <w:u w:val="single"/>
        </w:rPr>
        <w:t xml:space="preserve">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widowControl/>
        <w:shd w:val="clear" w:color="auto" w:fill="FFFFFF"/>
        <w:wordWrap w:val="0"/>
        <w:jc w:val="left"/>
        <w:rPr>
          <w:rFonts w:ascii="Segoe UI" w:hAnsi="Segoe UI" w:eastAsia="宋体" w:cs="Segoe UI"/>
          <w:color w:val="333333"/>
          <w:kern w:val="0"/>
          <w:sz w:val="18"/>
          <w:szCs w:val="18"/>
        </w:rPr>
      </w:pPr>
    </w:p>
    <w:p>
      <w:pPr>
        <w:widowControl/>
        <w:shd w:val="clear" w:color="auto" w:fill="FFFFFF"/>
        <w:wordWrap w:val="0"/>
        <w:jc w:val="left"/>
        <w:rPr>
          <w:rFonts w:hint="eastAsia" w:ascii="黑体" w:hAnsi="黑体" w:eastAsia="黑体" w:cs="Segoe UI"/>
          <w:b/>
          <w:color w:val="333333"/>
          <w:kern w:val="0"/>
          <w:sz w:val="32"/>
          <w:szCs w:val="32"/>
        </w:rPr>
      </w:pPr>
    </w:p>
    <w:p>
      <w:pPr>
        <w:widowControl/>
        <w:shd w:val="clear" w:color="auto" w:fill="FFFFFF"/>
        <w:wordWrap w:val="0"/>
        <w:jc w:val="left"/>
        <w:rPr>
          <w:rFonts w:hint="eastAsia" w:ascii="Segoe UI" w:hAnsi="Segoe UI" w:eastAsia="黑体" w:cs="Segoe UI"/>
          <w:b/>
          <w:color w:val="333333"/>
          <w:kern w:val="0"/>
          <w:sz w:val="18"/>
          <w:szCs w:val="18"/>
          <w:lang w:eastAsia="zh-CN"/>
        </w:rPr>
      </w:pPr>
      <w:bookmarkStart w:id="2" w:name="_GoBack"/>
      <w:bookmarkEnd w:id="2"/>
      <w:r>
        <w:rPr>
          <w:rFonts w:hint="eastAsia" w:ascii="黑体" w:hAnsi="黑体" w:eastAsia="黑体" w:cs="Segoe UI"/>
          <w:b/>
          <w:color w:val="333333"/>
          <w:kern w:val="0"/>
          <w:sz w:val="32"/>
          <w:szCs w:val="32"/>
        </w:rPr>
        <w:t>附件</w:t>
      </w:r>
      <w:r>
        <w:rPr>
          <w:rFonts w:hint="eastAsia" w:ascii="黑体" w:hAnsi="黑体" w:eastAsia="黑体" w:cs="Segoe UI"/>
          <w:b/>
          <w:color w:val="333333"/>
          <w:kern w:val="0"/>
          <w:sz w:val="32"/>
          <w:szCs w:val="32"/>
          <w:lang w:val="en-US" w:eastAsia="zh-CN"/>
        </w:rPr>
        <w:t>9</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四川省妇幼保健院反商业贿赂承诺书</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二、本厂家、商家、公司保证在药品、医疗器械、设备、物资、基建工程竞标工作及药品、试剂销售等工作中承诺做到：</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1、不与其他投标人相互串通投标报价，损害贵院的合法权益；</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2、不与招标人串通投标，损害国家利益、社会公共利益或他人的合法权益；</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3、不以向招标人或者评标委员会成员行贿的手段谋取中标；</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4、竞标报价不违反相关法律的规定，也不以他人名义投标或者以其他方式弄虚作假，骗取中标；</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5、保证不以其他任何方式扰乱贵院的招标工作；</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8、保证不让贵院临床科室、药剂部门以及有关人员登记、统计医生处方或为此提供方便，干扰贵院的正常工作秩序；</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9、保证不以其他任何不正当竞争手段推销药品、医疗器械、设备、物资。</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三、本厂家、商家、公司保证竭力维护贵院的声誉，不做任何有损贵院形象的事情。</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2、对本厂家、商家、公司相关工作人员作出严肃处理；</w:t>
      </w:r>
    </w:p>
    <w:p>
      <w:pPr>
        <w:widowControl/>
        <w:shd w:val="clear" w:color="auto" w:fill="FFFFFF"/>
        <w:spacing w:line="360" w:lineRule="auto"/>
        <w:ind w:firstLine="480"/>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spacing w:line="360" w:lineRule="auto"/>
        <w:ind w:firstLine="480"/>
        <w:jc w:val="left"/>
        <w:rPr>
          <w:rFonts w:hint="eastAsia" w:cs="Segoe UI" w:asciiTheme="minorEastAsia" w:hAnsiTheme="minorEastAsia" w:eastAsiaTheme="minorEastAsia"/>
          <w:color w:val="333333"/>
          <w:kern w:val="0"/>
          <w:sz w:val="18"/>
          <w:szCs w:val="18"/>
          <w:lang w:eastAsia="zh-CN"/>
        </w:rPr>
      </w:pPr>
      <w:r>
        <w:rPr>
          <w:rFonts w:hint="eastAsia" w:cs="Segoe UI" w:asciiTheme="minorEastAsia" w:hAnsiTheme="minorEastAsia"/>
          <w:color w:val="333333"/>
          <w:kern w:val="0"/>
          <w:sz w:val="24"/>
          <w:szCs w:val="24"/>
        </w:rPr>
        <w:t>六、采购</w:t>
      </w:r>
      <w:r>
        <w:rPr>
          <w:rFonts w:hint="eastAsia" w:cs="Segoe UI" w:asciiTheme="minorEastAsia" w:hAnsiTheme="minorEastAsia"/>
          <w:color w:val="333333"/>
          <w:kern w:val="0"/>
          <w:sz w:val="24"/>
          <w:szCs w:val="24"/>
          <w:lang w:eastAsia="zh-CN"/>
        </w:rPr>
        <w:t>服务</w:t>
      </w:r>
      <w:r>
        <w:rPr>
          <w:rFonts w:hint="eastAsia" w:cs="Segoe UI" w:asciiTheme="minorEastAsia" w:hAnsiTheme="minorEastAsia"/>
          <w:color w:val="333333"/>
          <w:kern w:val="0"/>
          <w:sz w:val="24"/>
          <w:szCs w:val="24"/>
        </w:rPr>
        <w:t>名称：全院医疗器械计量检测服务</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rPr>
        <w:t> </w:t>
      </w:r>
    </w:p>
    <w:p>
      <w:pPr>
        <w:widowControl/>
        <w:snapToGrid w:val="0"/>
        <w:spacing w:line="360" w:lineRule="auto"/>
        <w:jc w:val="left"/>
        <w:outlineLvl w:val="1"/>
        <w:rPr>
          <w:rFonts w:asciiTheme="minorEastAsia" w:hAnsiTheme="minorEastAsia"/>
          <w:sz w:val="24"/>
        </w:rPr>
      </w:pPr>
      <w:r>
        <w:rPr>
          <w:rFonts w:hint="eastAsia" w:cs="Segoe UI" w:asciiTheme="minorEastAsia" w:hAnsiTheme="minorEastAsia"/>
          <w:color w:val="333333"/>
          <w:kern w:val="0"/>
          <w:sz w:val="24"/>
          <w:szCs w:val="24"/>
        </w:rPr>
        <w:t xml:space="preserve">    承诺投标人名称：</w:t>
      </w:r>
      <w:r>
        <w:rPr>
          <w:rFonts w:hint="eastAsia" w:asciiTheme="minorEastAsia" w:hAnsiTheme="minorEastAsia"/>
          <w:sz w:val="24"/>
          <w:u w:val="single"/>
        </w:rPr>
        <w:t xml:space="preserve">（投标人全称）  </w:t>
      </w:r>
      <w:r>
        <w:rPr>
          <w:rFonts w:hint="eastAsia" w:asciiTheme="minorEastAsia" w:hAnsiTheme="minorEastAsia"/>
          <w:sz w:val="24"/>
        </w:rPr>
        <w:t>（加盖公章）</w:t>
      </w:r>
    </w:p>
    <w:p>
      <w:pPr>
        <w:widowControl/>
        <w:shd w:val="clear" w:color="auto" w:fill="FFFFFF"/>
        <w:spacing w:line="360" w:lineRule="auto"/>
        <w:jc w:val="left"/>
        <w:rPr>
          <w:rFonts w:asciiTheme="minorEastAsia" w:hAnsiTheme="minorEastAsia"/>
          <w:sz w:val="24"/>
          <w:u w:val="single"/>
        </w:rPr>
      </w:pPr>
      <w:r>
        <w:rPr>
          <w:rFonts w:hint="eastAsia" w:cs="Segoe UI" w:asciiTheme="minorEastAsia" w:hAnsiTheme="minorEastAsia"/>
          <w:color w:val="333333"/>
          <w:kern w:val="0"/>
          <w:sz w:val="24"/>
          <w:szCs w:val="24"/>
        </w:rPr>
        <w:t xml:space="preserve">    承诺人：</w:t>
      </w:r>
      <w:r>
        <w:rPr>
          <w:rFonts w:hint="eastAsia" w:asciiTheme="minorEastAsia" w:hAnsiTheme="minorEastAsia"/>
          <w:sz w:val="24"/>
          <w:u w:val="single"/>
        </w:rPr>
        <w:t>（签名）</w:t>
      </w:r>
    </w:p>
    <w:p>
      <w:pPr>
        <w:pStyle w:val="2"/>
        <w:spacing w:after="0"/>
        <w:jc w:val="left"/>
        <w:rPr>
          <w:rFonts w:ascii="黑体" w:hAnsi="黑体" w:eastAsia="黑体" w:cs="仿宋_GB2312"/>
          <w:b/>
          <w:bCs/>
          <w:sz w:val="32"/>
          <w:szCs w:val="32"/>
        </w:rPr>
      </w:pPr>
    </w:p>
    <w:p>
      <w:pPr>
        <w:pStyle w:val="2"/>
        <w:spacing w:after="0"/>
        <w:jc w:val="left"/>
        <w:rPr>
          <w:rFonts w:hint="default" w:ascii="黑体" w:hAnsi="黑体" w:eastAsia="黑体" w:cs="仿宋_GB2312"/>
          <w:b/>
          <w:bCs/>
          <w:sz w:val="32"/>
          <w:szCs w:val="32"/>
          <w:lang w:val="en-US" w:eastAsia="zh-CN"/>
        </w:rPr>
      </w:pPr>
      <w:r>
        <w:rPr>
          <w:rFonts w:hint="eastAsia" w:ascii="黑体" w:hAnsi="黑体" w:eastAsia="黑体" w:cs="仿宋_GB2312"/>
          <w:b/>
          <w:bCs/>
          <w:sz w:val="32"/>
          <w:szCs w:val="32"/>
        </w:rPr>
        <w:t>附件</w:t>
      </w:r>
      <w:r>
        <w:rPr>
          <w:rFonts w:hint="eastAsia" w:ascii="黑体" w:hAnsi="黑体" w:eastAsia="黑体" w:cs="仿宋_GB2312"/>
          <w:b/>
          <w:bCs/>
          <w:sz w:val="32"/>
          <w:szCs w:val="32"/>
          <w:lang w:val="en-US" w:eastAsia="zh-CN"/>
        </w:rPr>
        <w:t>10</w:t>
      </w:r>
    </w:p>
    <w:p>
      <w:pPr>
        <w:pStyle w:val="2"/>
        <w:spacing w:after="0"/>
        <w:jc w:val="center"/>
        <w:rPr>
          <w:rFonts w:ascii="黑体" w:hAnsi="黑体" w:eastAsia="黑体" w:cs="方正小标宋简体"/>
          <w:sz w:val="44"/>
          <w:szCs w:val="44"/>
        </w:rPr>
      </w:pPr>
      <w:r>
        <w:rPr>
          <w:rFonts w:hint="eastAsia" w:ascii="黑体" w:hAnsi="黑体" w:eastAsia="黑体" w:cs="仿宋_GB2312"/>
          <w:b/>
          <w:bCs/>
          <w:sz w:val="32"/>
          <w:szCs w:val="32"/>
        </w:rPr>
        <w:t>无围标、串标行为承诺书</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本公司郑重承诺：我公司自觉遵守《中华人民共和国政府采购法》和《中华人民共和国政府采购法实施条例》的有关规定，我公司在参加本次项目（项目名称：</w:t>
      </w:r>
      <w:r>
        <w:rPr>
          <w:rFonts w:hint="eastAsia" w:cs="Segoe UI" w:asciiTheme="minorEastAsia" w:hAnsiTheme="minorEastAsia"/>
          <w:color w:val="333333"/>
          <w:kern w:val="0"/>
          <w:sz w:val="24"/>
          <w:szCs w:val="24"/>
          <w:lang w:eastAsia="zh-CN"/>
        </w:rPr>
        <w:t>应急储备库医学装备维修服务</w:t>
      </w:r>
      <w:r>
        <w:rPr>
          <w:rFonts w:hint="eastAsia" w:cs="Segoe UI" w:asciiTheme="minorEastAsia" w:hAnsiTheme="minorEastAsia"/>
          <w:color w:val="333333"/>
          <w:kern w:val="0"/>
          <w:sz w:val="24"/>
          <w:szCs w:val="24"/>
        </w:rPr>
        <w:t>）采购活动中，无以下围标、串标行为：</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1.不同供应商的投标文件由同一单位或者个人编制；</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2.不同供应商委托同一单位或者个人办理投标事宜；</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3.不同供应商的投标文件载明的项目管理成员或者联系人员为同一人；</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4.不同供应商的投标文件异常一致或者投标报价呈规律性差异；</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5.不同供应商的投标文件相互混装；</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6.不同供应商的投标保证金从同一单位或者个人的账户转出；</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7.不同供应商的董事、监事、高管、单位负责人为同一人或者存在控股、管理关系的不同单位参加同一采购项目；</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8.供应商之间事先约定由某一特定供应商中标、成交；</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9.供应商之间商定部分供应商放弃参加采购活动或者放弃中标、成交；</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10.法律法规界定的其他围标串标行为。</w:t>
      </w:r>
    </w:p>
    <w:p>
      <w:pPr>
        <w:widowControl/>
        <w:shd w:val="clear" w:color="auto" w:fill="FFFFFF"/>
        <w:spacing w:line="360" w:lineRule="auto"/>
        <w:ind w:firstLine="480"/>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spacing w:line="360" w:lineRule="auto"/>
        <w:rPr>
          <w:rFonts w:cs="Segoe UI" w:asciiTheme="minorEastAsia" w:hAnsiTheme="minorEastAsia"/>
          <w:color w:val="333333"/>
          <w:kern w:val="0"/>
          <w:sz w:val="24"/>
        </w:rPr>
      </w:pPr>
    </w:p>
    <w:p>
      <w:pPr>
        <w:widowControl/>
        <w:snapToGrid w:val="0"/>
        <w:spacing w:line="360" w:lineRule="auto"/>
        <w:jc w:val="left"/>
        <w:outlineLvl w:val="1"/>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 xml:space="preserve">    承诺投标人名称：</w:t>
      </w:r>
      <w:r>
        <w:rPr>
          <w:rFonts w:hint="eastAsia" w:cs="Segoe UI" w:asciiTheme="minorEastAsia" w:hAnsiTheme="minorEastAsia"/>
          <w:color w:val="333333"/>
          <w:kern w:val="0"/>
          <w:sz w:val="24"/>
          <w:szCs w:val="24"/>
          <w:u w:val="single"/>
        </w:rPr>
        <w:t>（投标人全称）</w:t>
      </w:r>
      <w:r>
        <w:rPr>
          <w:rFonts w:hint="eastAsia" w:cs="Segoe UI" w:asciiTheme="minorEastAsia" w:hAnsiTheme="minorEastAsia"/>
          <w:color w:val="333333"/>
          <w:kern w:val="0"/>
          <w:sz w:val="24"/>
          <w:szCs w:val="24"/>
        </w:rPr>
        <w:t xml:space="preserve"> （加盖公章）</w:t>
      </w:r>
    </w:p>
    <w:p>
      <w:pPr>
        <w:widowControl/>
        <w:snapToGrid w:val="0"/>
        <w:spacing w:line="360" w:lineRule="auto"/>
        <w:jc w:val="left"/>
        <w:outlineLvl w:val="1"/>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 xml:space="preserve">    承诺人：</w:t>
      </w:r>
      <w:r>
        <w:rPr>
          <w:rFonts w:hint="eastAsia" w:cs="Segoe UI" w:asciiTheme="minorEastAsia" w:hAnsiTheme="minorEastAsia"/>
          <w:color w:val="333333"/>
          <w:kern w:val="0"/>
          <w:sz w:val="24"/>
          <w:szCs w:val="24"/>
          <w:u w:val="single"/>
        </w:rPr>
        <w:t>（签名）</w:t>
      </w:r>
    </w:p>
    <w:p>
      <w:pPr>
        <w:widowControl/>
        <w:snapToGrid w:val="0"/>
        <w:spacing w:line="360" w:lineRule="auto"/>
        <w:jc w:val="left"/>
        <w:outlineLvl w:val="1"/>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rPr>
        <w:t xml:space="preserve">    承诺日期：</w:t>
      </w:r>
      <w:r>
        <w:rPr>
          <w:rFonts w:hint="eastAsia" w:cs="Segoe UI" w:asciiTheme="minorEastAsia" w:hAnsiTheme="minorEastAsia"/>
          <w:color w:val="333333"/>
          <w:kern w:val="0"/>
          <w:sz w:val="24"/>
          <w:szCs w:val="24"/>
          <w:u w:val="single"/>
        </w:rPr>
        <w:t xml:space="preserve">        </w:t>
      </w:r>
      <w:r>
        <w:rPr>
          <w:rFonts w:hint="eastAsia" w:cs="Segoe UI" w:asciiTheme="minorEastAsia" w:hAnsiTheme="minorEastAsia"/>
          <w:color w:val="333333"/>
          <w:kern w:val="0"/>
          <w:sz w:val="24"/>
          <w:szCs w:val="24"/>
        </w:rPr>
        <w:t>年</w:t>
      </w:r>
      <w:r>
        <w:rPr>
          <w:rFonts w:hint="eastAsia" w:cs="Segoe UI" w:asciiTheme="minorEastAsia" w:hAnsiTheme="minorEastAsia"/>
          <w:color w:val="333333"/>
          <w:kern w:val="0"/>
          <w:sz w:val="24"/>
          <w:szCs w:val="24"/>
          <w:u w:val="single"/>
        </w:rPr>
        <w:t xml:space="preserve">    </w:t>
      </w:r>
      <w:r>
        <w:rPr>
          <w:rFonts w:hint="eastAsia" w:cs="Segoe UI" w:asciiTheme="minorEastAsia" w:hAnsiTheme="minorEastAsia"/>
          <w:color w:val="333333"/>
          <w:kern w:val="0"/>
          <w:sz w:val="24"/>
          <w:szCs w:val="24"/>
        </w:rPr>
        <w:t>月</w:t>
      </w:r>
      <w:r>
        <w:rPr>
          <w:rFonts w:hint="eastAsia" w:cs="Segoe UI" w:asciiTheme="minorEastAsia" w:hAnsiTheme="minorEastAsia"/>
          <w:color w:val="333333"/>
          <w:kern w:val="0"/>
          <w:sz w:val="24"/>
          <w:szCs w:val="24"/>
          <w:u w:val="single"/>
        </w:rPr>
        <w:t xml:space="preserve">    </w:t>
      </w:r>
      <w:r>
        <w:rPr>
          <w:rFonts w:hint="eastAsia" w:cs="Segoe UI" w:asciiTheme="minorEastAsia" w:hAnsiTheme="minorEastAsia"/>
          <w:color w:val="333333"/>
          <w:kern w:val="0"/>
          <w:sz w:val="24"/>
          <w:szCs w:val="24"/>
        </w:rPr>
        <w:t>日</w:t>
      </w:r>
    </w:p>
    <w:p>
      <w:pPr>
        <w:widowControl/>
        <w:shd w:val="clear" w:color="auto" w:fill="FFFFFF"/>
        <w:wordWrap w:val="0"/>
        <w:jc w:val="left"/>
        <w:rPr>
          <w:rFonts w:ascii="黑体" w:hAnsi="黑体" w:eastAsia="黑体" w:cs="Segoe UI"/>
          <w:color w:val="333333"/>
          <w:kern w:val="0"/>
          <w:sz w:val="32"/>
          <w:szCs w:val="32"/>
        </w:rPr>
      </w:pPr>
    </w:p>
    <w:p>
      <w:pPr>
        <w:widowControl/>
        <w:shd w:val="clear" w:color="auto" w:fill="FFFFFF"/>
        <w:wordWrap w:val="0"/>
        <w:jc w:val="left"/>
        <w:rPr>
          <w:rFonts w:hint="default" w:ascii="Segoe UI" w:hAnsi="Segoe UI" w:eastAsia="黑体" w:cs="Segoe UI"/>
          <w:b/>
          <w:color w:val="333333"/>
          <w:kern w:val="0"/>
          <w:sz w:val="18"/>
          <w:szCs w:val="18"/>
          <w:lang w:val="en-US" w:eastAsia="zh-CN"/>
        </w:rPr>
      </w:pPr>
      <w:r>
        <w:rPr>
          <w:rFonts w:hint="eastAsia" w:ascii="黑体" w:hAnsi="黑体" w:eastAsia="黑体" w:cs="Segoe UI"/>
          <w:b/>
          <w:color w:val="333333"/>
          <w:kern w:val="0"/>
          <w:sz w:val="32"/>
          <w:szCs w:val="32"/>
        </w:rPr>
        <w:t>附件</w:t>
      </w:r>
      <w:r>
        <w:rPr>
          <w:rFonts w:hint="eastAsia" w:ascii="黑体" w:hAnsi="黑体" w:eastAsia="黑体" w:cs="Segoe UI"/>
          <w:b/>
          <w:color w:val="333333"/>
          <w:kern w:val="0"/>
          <w:sz w:val="32"/>
          <w:szCs w:val="32"/>
          <w:lang w:val="en-US" w:eastAsia="zh-CN"/>
        </w:rPr>
        <w:t>11</w:t>
      </w:r>
    </w:p>
    <w:p>
      <w:pPr>
        <w:widowControl/>
        <w:shd w:val="clear" w:color="auto" w:fill="FFFFFF"/>
        <w:wordWrap w:val="0"/>
        <w:jc w:val="center"/>
        <w:rPr>
          <w:rFonts w:ascii="Segoe UI" w:hAnsi="Segoe UI" w:eastAsia="宋体" w:cs="Segoe UI"/>
          <w:b/>
          <w:color w:val="333333"/>
          <w:kern w:val="0"/>
          <w:sz w:val="18"/>
          <w:szCs w:val="18"/>
        </w:rPr>
      </w:pPr>
      <w:r>
        <w:rPr>
          <w:rFonts w:hint="eastAsia" w:ascii="黑体" w:hAnsi="黑体" w:eastAsia="黑体" w:cs="Segoe UI"/>
          <w:b/>
          <w:color w:val="333333"/>
          <w:kern w:val="0"/>
          <w:sz w:val="32"/>
          <w:szCs w:val="32"/>
        </w:rPr>
        <w:t>采购文件书装订顺序</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1．封面（公司、项目、联系人、联系方式）</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2．目录</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3．品目及报价表</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4．技术服务要求应答表</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5．法定代表人授权书</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6. 良好的商业信誉和健全的财务会计制度的承诺函</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7．履行合同所必需的设备和专业技术能力的承诺函</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8. 依法缴纳税收和社会保障资金的良好记录的承诺函</w:t>
      </w:r>
    </w:p>
    <w:p>
      <w:pPr>
        <w:widowControl/>
        <w:shd w:val="clear" w:color="auto" w:fill="FFFFFF"/>
        <w:spacing w:line="360" w:lineRule="auto"/>
        <w:jc w:val="left"/>
        <w:rPr>
          <w:rFonts w:hint="eastAsia" w:cs="Segoe UI" w:asciiTheme="minorEastAsia" w:hAnsiTheme="minorEastAsia"/>
          <w:color w:val="333333"/>
          <w:kern w:val="0"/>
          <w:sz w:val="24"/>
          <w:szCs w:val="24"/>
          <w:lang w:val="en-US" w:eastAsia="zh-CN"/>
        </w:rPr>
      </w:pPr>
      <w:r>
        <w:rPr>
          <w:rFonts w:hint="eastAsia" w:cs="Segoe UI" w:asciiTheme="minorEastAsia" w:hAnsiTheme="minorEastAsia"/>
          <w:color w:val="333333"/>
          <w:kern w:val="0"/>
          <w:sz w:val="24"/>
          <w:szCs w:val="24"/>
          <w:lang w:val="en-US" w:eastAsia="zh-CN"/>
        </w:rPr>
        <w:t>9．四川省妇幼保健院反商业贿赂承诺书</w:t>
      </w:r>
    </w:p>
    <w:p>
      <w:pPr>
        <w:widowControl/>
        <w:shd w:val="clear" w:color="auto" w:fill="FFFFFF"/>
        <w:spacing w:line="360" w:lineRule="auto"/>
        <w:jc w:val="left"/>
        <w:rPr>
          <w:rFonts w:cs="Segoe UI" w:asciiTheme="minorEastAsia" w:hAnsiTheme="minorEastAsia"/>
          <w:color w:val="333333"/>
          <w:kern w:val="0"/>
          <w:sz w:val="24"/>
          <w:szCs w:val="24"/>
        </w:rPr>
      </w:pPr>
      <w:r>
        <w:rPr>
          <w:rFonts w:hint="eastAsia" w:cs="Segoe UI" w:asciiTheme="minorEastAsia" w:hAnsiTheme="minorEastAsia"/>
          <w:color w:val="333333"/>
          <w:kern w:val="0"/>
          <w:sz w:val="24"/>
          <w:szCs w:val="24"/>
          <w:lang w:val="en-US" w:eastAsia="zh-CN"/>
        </w:rPr>
        <w:t>10</w:t>
      </w:r>
      <w:r>
        <w:rPr>
          <w:rFonts w:hint="eastAsia" w:cs="Segoe UI" w:asciiTheme="minorEastAsia" w:hAnsiTheme="minorEastAsia"/>
          <w:color w:val="333333"/>
          <w:kern w:val="0"/>
          <w:sz w:val="24"/>
          <w:szCs w:val="24"/>
        </w:rPr>
        <w:t>．无围标、串标行为承诺书</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color w:val="333333"/>
          <w:kern w:val="0"/>
          <w:sz w:val="24"/>
          <w:szCs w:val="24"/>
          <w:lang w:val="en-US" w:eastAsia="zh-CN"/>
        </w:rPr>
        <w:t>11</w:t>
      </w:r>
      <w:r>
        <w:rPr>
          <w:rFonts w:hint="eastAsia" w:cs="Segoe UI" w:asciiTheme="minorEastAsia" w:hAnsiTheme="minorEastAsia"/>
          <w:color w:val="333333"/>
          <w:kern w:val="0"/>
          <w:sz w:val="24"/>
          <w:szCs w:val="24"/>
        </w:rPr>
        <w:t>．</w:t>
      </w:r>
      <w:r>
        <w:rPr>
          <w:rFonts w:hint="eastAsia" w:cs="Segoe UI" w:asciiTheme="minorEastAsia" w:hAnsiTheme="minorEastAsia"/>
          <w:color w:val="333333"/>
          <w:spacing w:val="8"/>
          <w:kern w:val="0"/>
          <w:sz w:val="24"/>
          <w:szCs w:val="24"/>
        </w:rPr>
        <w:t>封底</w:t>
      </w:r>
    </w:p>
    <w:p>
      <w:pPr>
        <w:widowControl/>
        <w:shd w:val="clear" w:color="auto" w:fill="FFFFFF"/>
        <w:spacing w:line="360" w:lineRule="auto"/>
        <w:jc w:val="left"/>
        <w:rPr>
          <w:rFonts w:cs="Segoe UI" w:asciiTheme="minorEastAsia" w:hAnsiTheme="minorEastAsia"/>
          <w:color w:val="333333"/>
          <w:kern w:val="0"/>
          <w:sz w:val="18"/>
          <w:szCs w:val="18"/>
        </w:rPr>
      </w:pPr>
      <w:r>
        <w:rPr>
          <w:rFonts w:hint="eastAsia" w:cs="Segoe UI" w:asciiTheme="minorEastAsia" w:hAnsiTheme="minorEastAsia"/>
          <w:b/>
          <w:bCs/>
          <w:color w:val="333333"/>
          <w:kern w:val="0"/>
          <w:sz w:val="24"/>
          <w:szCs w:val="24"/>
        </w:rPr>
        <w:t>注：请务必按以上顺序</w:t>
      </w:r>
      <w:r>
        <w:rPr>
          <w:rFonts w:hint="eastAsia" w:cs="Segoe UI" w:asciiTheme="minorEastAsia" w:hAnsiTheme="minorEastAsia"/>
          <w:b/>
          <w:bCs/>
          <w:color w:val="FF0000"/>
          <w:kern w:val="0"/>
          <w:sz w:val="24"/>
          <w:szCs w:val="24"/>
        </w:rPr>
        <w:t>封胶装订</w:t>
      </w:r>
      <w:r>
        <w:rPr>
          <w:rFonts w:hint="eastAsia" w:cs="Segoe UI" w:asciiTheme="minorEastAsia" w:hAnsiTheme="minorEastAsia"/>
          <w:b/>
          <w:bCs/>
          <w:color w:val="333333"/>
          <w:kern w:val="0"/>
          <w:sz w:val="24"/>
          <w:szCs w:val="24"/>
        </w:rPr>
        <w:t>资料。</w:t>
      </w:r>
    </w:p>
    <w:p>
      <w:pPr>
        <w:pStyle w:val="15"/>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BC8BD8"/>
    <w:multiLevelType w:val="singleLevel"/>
    <w:tmpl w:val="95BC8BD8"/>
    <w:lvl w:ilvl="0" w:tentative="0">
      <w:start w:val="1"/>
      <w:numFmt w:val="chineseCounting"/>
      <w:suff w:val="nothing"/>
      <w:lvlText w:val="（%1）"/>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mYjM1MmEyYTk2NGJkZGUyOWYzMTQ4Y2RmZGM0MmQifQ=="/>
    <w:docVar w:name="KSO_WPS_MARK_KEY" w:val="973a3d28-f087-4e80-8138-935974fd2eb2"/>
  </w:docVars>
  <w:rsids>
    <w:rsidRoot w:val="00172A27"/>
    <w:rsid w:val="0002243C"/>
    <w:rsid w:val="00022C02"/>
    <w:rsid w:val="00032E86"/>
    <w:rsid w:val="00047CCC"/>
    <w:rsid w:val="0005596B"/>
    <w:rsid w:val="00074B48"/>
    <w:rsid w:val="000823A4"/>
    <w:rsid w:val="00094430"/>
    <w:rsid w:val="000C1916"/>
    <w:rsid w:val="000D53B6"/>
    <w:rsid w:val="000F62A5"/>
    <w:rsid w:val="00133DFA"/>
    <w:rsid w:val="00137469"/>
    <w:rsid w:val="0018557B"/>
    <w:rsid w:val="0018655C"/>
    <w:rsid w:val="00190928"/>
    <w:rsid w:val="001A27AA"/>
    <w:rsid w:val="001F149D"/>
    <w:rsid w:val="002425D6"/>
    <w:rsid w:val="00245DA9"/>
    <w:rsid w:val="002772B4"/>
    <w:rsid w:val="002965EC"/>
    <w:rsid w:val="002A1866"/>
    <w:rsid w:val="002C220F"/>
    <w:rsid w:val="00323154"/>
    <w:rsid w:val="0038288C"/>
    <w:rsid w:val="00393292"/>
    <w:rsid w:val="003C1D59"/>
    <w:rsid w:val="003F09B9"/>
    <w:rsid w:val="004243C5"/>
    <w:rsid w:val="00427956"/>
    <w:rsid w:val="00444228"/>
    <w:rsid w:val="00446A9B"/>
    <w:rsid w:val="00462111"/>
    <w:rsid w:val="00465844"/>
    <w:rsid w:val="004924A8"/>
    <w:rsid w:val="004C53F3"/>
    <w:rsid w:val="004D31F3"/>
    <w:rsid w:val="004E4904"/>
    <w:rsid w:val="004F30B9"/>
    <w:rsid w:val="00502A6A"/>
    <w:rsid w:val="00507D30"/>
    <w:rsid w:val="00552E85"/>
    <w:rsid w:val="0057022B"/>
    <w:rsid w:val="00577B7C"/>
    <w:rsid w:val="00586081"/>
    <w:rsid w:val="00596D7A"/>
    <w:rsid w:val="005C427C"/>
    <w:rsid w:val="005D6620"/>
    <w:rsid w:val="006139D7"/>
    <w:rsid w:val="00621C84"/>
    <w:rsid w:val="00631017"/>
    <w:rsid w:val="00666361"/>
    <w:rsid w:val="006668EE"/>
    <w:rsid w:val="006A675A"/>
    <w:rsid w:val="00720BDA"/>
    <w:rsid w:val="00732925"/>
    <w:rsid w:val="007412AC"/>
    <w:rsid w:val="00781399"/>
    <w:rsid w:val="007B050D"/>
    <w:rsid w:val="007C59C8"/>
    <w:rsid w:val="007E63CD"/>
    <w:rsid w:val="0082727D"/>
    <w:rsid w:val="00842E5D"/>
    <w:rsid w:val="00864999"/>
    <w:rsid w:val="008A342E"/>
    <w:rsid w:val="0092011A"/>
    <w:rsid w:val="00934387"/>
    <w:rsid w:val="00946893"/>
    <w:rsid w:val="00961901"/>
    <w:rsid w:val="00971A18"/>
    <w:rsid w:val="00976075"/>
    <w:rsid w:val="00986EC2"/>
    <w:rsid w:val="009D02C4"/>
    <w:rsid w:val="009D47EB"/>
    <w:rsid w:val="009F1F23"/>
    <w:rsid w:val="00A1246E"/>
    <w:rsid w:val="00A452E2"/>
    <w:rsid w:val="00A51E41"/>
    <w:rsid w:val="00A93D41"/>
    <w:rsid w:val="00AA617F"/>
    <w:rsid w:val="00AC4991"/>
    <w:rsid w:val="00AF514C"/>
    <w:rsid w:val="00B35349"/>
    <w:rsid w:val="00B378CE"/>
    <w:rsid w:val="00B840C0"/>
    <w:rsid w:val="00BE0941"/>
    <w:rsid w:val="00C23DEF"/>
    <w:rsid w:val="00C312CF"/>
    <w:rsid w:val="00C50CB0"/>
    <w:rsid w:val="00C849FC"/>
    <w:rsid w:val="00CB5706"/>
    <w:rsid w:val="00CC4FB7"/>
    <w:rsid w:val="00CD76E4"/>
    <w:rsid w:val="00CE4828"/>
    <w:rsid w:val="00CF3559"/>
    <w:rsid w:val="00D41B4F"/>
    <w:rsid w:val="00D602A2"/>
    <w:rsid w:val="00D767F0"/>
    <w:rsid w:val="00DC379F"/>
    <w:rsid w:val="00E35D8D"/>
    <w:rsid w:val="00E612F3"/>
    <w:rsid w:val="00E972AD"/>
    <w:rsid w:val="00EA590C"/>
    <w:rsid w:val="00EC01C6"/>
    <w:rsid w:val="00EE01B6"/>
    <w:rsid w:val="00EE6869"/>
    <w:rsid w:val="00F217C9"/>
    <w:rsid w:val="00F4459D"/>
    <w:rsid w:val="00F93C16"/>
    <w:rsid w:val="00FC3923"/>
    <w:rsid w:val="00FF2402"/>
    <w:rsid w:val="022B1C80"/>
    <w:rsid w:val="031B7848"/>
    <w:rsid w:val="032248C7"/>
    <w:rsid w:val="03360A84"/>
    <w:rsid w:val="03EF7F39"/>
    <w:rsid w:val="067A72C7"/>
    <w:rsid w:val="076B18C7"/>
    <w:rsid w:val="0ADD2F23"/>
    <w:rsid w:val="0B557C79"/>
    <w:rsid w:val="0F154705"/>
    <w:rsid w:val="0F743BCE"/>
    <w:rsid w:val="163B3354"/>
    <w:rsid w:val="17D57746"/>
    <w:rsid w:val="1BA02DF9"/>
    <w:rsid w:val="1C5B6FD9"/>
    <w:rsid w:val="1DC96265"/>
    <w:rsid w:val="1F7E7275"/>
    <w:rsid w:val="20777DB3"/>
    <w:rsid w:val="21F96130"/>
    <w:rsid w:val="235E144D"/>
    <w:rsid w:val="23B544E6"/>
    <w:rsid w:val="25420C37"/>
    <w:rsid w:val="25A83190"/>
    <w:rsid w:val="27156822"/>
    <w:rsid w:val="278F0112"/>
    <w:rsid w:val="286365E3"/>
    <w:rsid w:val="297612E9"/>
    <w:rsid w:val="2C8513EB"/>
    <w:rsid w:val="300564AC"/>
    <w:rsid w:val="332827A9"/>
    <w:rsid w:val="337B238E"/>
    <w:rsid w:val="341F19A0"/>
    <w:rsid w:val="34A63079"/>
    <w:rsid w:val="356F701A"/>
    <w:rsid w:val="36EB1671"/>
    <w:rsid w:val="38950F74"/>
    <w:rsid w:val="3CBE15E0"/>
    <w:rsid w:val="3D6657A8"/>
    <w:rsid w:val="40DD693C"/>
    <w:rsid w:val="42C5392E"/>
    <w:rsid w:val="43432C27"/>
    <w:rsid w:val="45D16F1B"/>
    <w:rsid w:val="4932124F"/>
    <w:rsid w:val="494E5D24"/>
    <w:rsid w:val="49A6228A"/>
    <w:rsid w:val="4A0014A9"/>
    <w:rsid w:val="4A2630EC"/>
    <w:rsid w:val="4C902E87"/>
    <w:rsid w:val="4D681C31"/>
    <w:rsid w:val="5075483D"/>
    <w:rsid w:val="55EC4900"/>
    <w:rsid w:val="56DF4CDA"/>
    <w:rsid w:val="5BE81C26"/>
    <w:rsid w:val="5D253BAB"/>
    <w:rsid w:val="5D347AD7"/>
    <w:rsid w:val="5FE20CCB"/>
    <w:rsid w:val="60492E82"/>
    <w:rsid w:val="61D948ED"/>
    <w:rsid w:val="62546319"/>
    <w:rsid w:val="62BC2754"/>
    <w:rsid w:val="6563157F"/>
    <w:rsid w:val="664C4B84"/>
    <w:rsid w:val="67366FAB"/>
    <w:rsid w:val="6AA3318C"/>
    <w:rsid w:val="6BBF1192"/>
    <w:rsid w:val="6E2E2382"/>
    <w:rsid w:val="6FCD5774"/>
    <w:rsid w:val="6FD85880"/>
    <w:rsid w:val="7122649D"/>
    <w:rsid w:val="71FC5127"/>
    <w:rsid w:val="78276184"/>
    <w:rsid w:val="7877542E"/>
    <w:rsid w:val="7B7D5C23"/>
    <w:rsid w:val="7DA27A56"/>
    <w:rsid w:val="7E2C4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21"/>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0"/>
    <w:unhideWhenUsed/>
    <w:qFormat/>
    <w:uiPriority w:val="99"/>
    <w:pPr>
      <w:spacing w:after="120" w:line="259" w:lineRule="auto"/>
    </w:pPr>
    <w:rPr>
      <w:rFonts w:ascii="Calibri" w:hAnsi="Calibri" w:eastAsia="宋体" w:cs="Times New Roman"/>
      <w:szCs w:val="24"/>
    </w:rPr>
  </w:style>
  <w:style w:type="paragraph" w:styleId="4">
    <w:name w:val="Normal Indent"/>
    <w:basedOn w:val="1"/>
    <w:qFormat/>
    <w:uiPriority w:val="0"/>
    <w:pPr>
      <w:spacing w:after="160" w:line="259" w:lineRule="auto"/>
      <w:ind w:firstLine="200" w:firstLineChars="200"/>
    </w:pPr>
    <w:rPr>
      <w:rFonts w:ascii="Calibri" w:hAnsi="Calibri" w:eastAsia="宋体" w:cs="Times New Roman"/>
      <w:szCs w:val="24"/>
    </w:rPr>
  </w:style>
  <w:style w:type="paragraph" w:styleId="5">
    <w:name w:val="annotation text"/>
    <w:basedOn w:val="1"/>
    <w:link w:val="22"/>
    <w:qFormat/>
    <w:uiPriority w:val="0"/>
    <w:pPr>
      <w:spacing w:after="160" w:line="259" w:lineRule="auto"/>
      <w:jc w:val="left"/>
    </w:pPr>
    <w:rPr>
      <w:rFonts w:ascii="Calibri" w:hAnsi="Calibri" w:eastAsia="宋体" w:cs="Times New Roman"/>
      <w:szCs w:val="24"/>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99"/>
    <w:pPr>
      <w:snapToGrid w:val="0"/>
      <w:jc w:val="left"/>
    </w:pPr>
    <w:rPr>
      <w:rFonts w:ascii="宋体" w:hAnsi="Times New Roman" w:eastAsia="宋体" w:cs="Times New Roman"/>
      <w:kern w:val="0"/>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w:basedOn w:val="2"/>
    <w:next w:val="1"/>
    <w:qFormat/>
    <w:uiPriority w:val="0"/>
    <w:pPr>
      <w:spacing w:after="0"/>
      <w:ind w:firstLine="420" w:firstLineChars="100"/>
    </w:pPr>
    <w:rPr>
      <w:rFonts w:ascii="Arial" w:hAnsi="Arial"/>
      <w:color w:val="000000"/>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customStyle="1" w:styleId="15">
    <w:name w:val="标题 5（有编号）（绿盟科技）"/>
    <w:basedOn w:val="1"/>
    <w:next w:val="16"/>
    <w:qFormat/>
    <w:uiPriority w:val="0"/>
    <w:pPr>
      <w:keepNext/>
      <w:keepLines/>
      <w:numPr>
        <w:ilvl w:val="4"/>
        <w:numId w:val="1"/>
      </w:numPr>
      <w:spacing w:before="280" w:after="156" w:line="377" w:lineRule="auto"/>
      <w:outlineLvl w:val="4"/>
    </w:pPr>
    <w:rPr>
      <w:rFonts w:ascii="Arial" w:hAnsi="Arial" w:eastAsia="黑体"/>
      <w:b/>
      <w:szCs w:val="28"/>
    </w:rPr>
  </w:style>
  <w:style w:type="paragraph" w:customStyle="1" w:styleId="16">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17">
    <w:name w:val="页眉 Char"/>
    <w:basedOn w:val="13"/>
    <w:link w:val="7"/>
    <w:qFormat/>
    <w:uiPriority w:val="99"/>
    <w:rPr>
      <w:sz w:val="18"/>
      <w:szCs w:val="18"/>
    </w:rPr>
  </w:style>
  <w:style w:type="character" w:customStyle="1" w:styleId="18">
    <w:name w:val="页脚 Char"/>
    <w:basedOn w:val="13"/>
    <w:link w:val="6"/>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正文文本 Char"/>
    <w:basedOn w:val="13"/>
    <w:link w:val="2"/>
    <w:qFormat/>
    <w:uiPriority w:val="99"/>
    <w:rPr>
      <w:rFonts w:ascii="Calibri" w:hAnsi="Calibri" w:eastAsia="宋体" w:cs="Times New Roman"/>
      <w:szCs w:val="24"/>
    </w:rPr>
  </w:style>
  <w:style w:type="character" w:customStyle="1" w:styleId="21">
    <w:name w:val="标题 2 Char"/>
    <w:basedOn w:val="13"/>
    <w:link w:val="3"/>
    <w:qFormat/>
    <w:uiPriority w:val="0"/>
    <w:rPr>
      <w:rFonts w:ascii="Arial" w:hAnsi="Arial" w:eastAsia="黑体" w:cs="Times New Roman"/>
      <w:b/>
      <w:bCs/>
      <w:sz w:val="32"/>
      <w:szCs w:val="32"/>
    </w:rPr>
  </w:style>
  <w:style w:type="character" w:customStyle="1" w:styleId="22">
    <w:name w:val="批注文字 Char"/>
    <w:basedOn w:val="13"/>
    <w:link w:val="5"/>
    <w:qFormat/>
    <w:uiPriority w:val="0"/>
    <w:rPr>
      <w:rFonts w:ascii="Calibri" w:hAnsi="Calibri" w:eastAsia="宋体" w:cs="Times New Roman"/>
      <w:szCs w:val="24"/>
    </w:rPr>
  </w:style>
  <w:style w:type="character" w:customStyle="1" w:styleId="23">
    <w:name w:val="font41"/>
    <w:basedOn w:val="13"/>
    <w:qFormat/>
    <w:uiPriority w:val="0"/>
    <w:rPr>
      <w:rFonts w:hint="eastAsia" w:ascii="宋体" w:hAnsi="宋体" w:eastAsia="宋体" w:cs="宋体"/>
      <w:color w:val="000000"/>
      <w:sz w:val="20"/>
      <w:szCs w:val="20"/>
      <w:u w:val="none"/>
    </w:rPr>
  </w:style>
  <w:style w:type="character" w:customStyle="1" w:styleId="24">
    <w:name w:val="font21"/>
    <w:basedOn w:val="13"/>
    <w:qFormat/>
    <w:uiPriority w:val="0"/>
    <w:rPr>
      <w:rFonts w:hint="eastAsia" w:ascii="宋体" w:hAnsi="宋体" w:eastAsia="宋体" w:cs="宋体"/>
      <w:color w:val="000000"/>
      <w:sz w:val="22"/>
      <w:szCs w:val="22"/>
      <w:u w:val="none"/>
    </w:rPr>
  </w:style>
  <w:style w:type="paragraph" w:customStyle="1" w:styleId="25">
    <w:name w:val="正文首行缩进两字符"/>
    <w:basedOn w:val="1"/>
    <w:qFormat/>
    <w:uiPriority w:val="0"/>
    <w:pPr>
      <w:ind w:firstLine="200"/>
    </w:pPr>
  </w:style>
  <w:style w:type="character" w:customStyle="1" w:styleId="26">
    <w:name w:val="font11"/>
    <w:basedOn w:val="13"/>
    <w:qFormat/>
    <w:uiPriority w:val="0"/>
    <w:rPr>
      <w:rFonts w:hint="eastAsia" w:ascii="宋体" w:hAnsi="宋体" w:eastAsia="宋体" w:cs="宋体"/>
      <w:color w:val="000000"/>
      <w:sz w:val="24"/>
      <w:szCs w:val="24"/>
      <w:u w:val="none"/>
    </w:rPr>
  </w:style>
  <w:style w:type="paragraph" w:customStyle="1" w:styleId="27">
    <w:name w:val="GW-正文"/>
    <w:basedOn w:val="1"/>
    <w:qFormat/>
    <w:uiPriority w:val="0"/>
    <w:pPr>
      <w:spacing w:line="360" w:lineRule="auto"/>
      <w:ind w:firstLine="200" w:firstLineChars="200"/>
    </w:pPr>
    <w:rPr>
      <w:rFonts w:eastAsia="仿宋_GB231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15</Pages>
  <Words>6548</Words>
  <Characters>7219</Characters>
  <Lines>233</Lines>
  <Paragraphs>65</Paragraphs>
  <TotalTime>7</TotalTime>
  <ScaleCrop>false</ScaleCrop>
  <LinksUpToDate>false</LinksUpToDate>
  <CharactersWithSpaces>7603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2021-09-28T08:20:00Z</dcterms:created>
  <dc:creator>a</dc:creator>
  <cp:lastModifiedBy>杨燕</cp:lastModifiedBy>
  <dcterms:modified xsi:type="dcterms:W3CDTF">2023-12-25T01:47:43Z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772FC25D6FB3479886ED42F4472C6C25</vt:lpwstr>
  </property>
</Properties>
</file>