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采购项目编号：SCFY-YXZB202312-007（磋）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1.2</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591"/>
        <w:gridCol w:w="1248"/>
        <w:gridCol w:w="998"/>
        <w:gridCol w:w="99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460"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87"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608"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6"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485"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67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60" w:type="pct"/>
            <w:vMerge w:val="continue"/>
            <w:noWrap w:val="0"/>
            <w:vAlign w:val="center"/>
          </w:tcPr>
          <w:p>
            <w:pPr>
              <w:spacing w:line="420" w:lineRule="exact"/>
              <w:jc w:val="center"/>
              <w:rPr>
                <w:rFonts w:hint="eastAsia" w:cs="宋体"/>
                <w:color w:val="000000"/>
                <w:kern w:val="0"/>
              </w:rPr>
            </w:pPr>
          </w:p>
        </w:tc>
        <w:tc>
          <w:tcPr>
            <w:tcW w:w="287"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1</w:t>
            </w:r>
          </w:p>
        </w:tc>
        <w:tc>
          <w:tcPr>
            <w:tcW w:w="608" w:type="pct"/>
            <w:noWrap w:val="0"/>
            <w:vAlign w:val="center"/>
          </w:tcPr>
          <w:p>
            <w:pPr>
              <w:widowControl/>
              <w:jc w:val="center"/>
              <w:textAlignment w:val="center"/>
              <w:rPr>
                <w:rFonts w:hint="default" w:ascii="宋体" w:hAnsi="宋体" w:eastAsia="宋体"/>
                <w:lang w:val="en-US" w:eastAsia="zh-CN"/>
              </w:rPr>
            </w:pPr>
            <w:r>
              <w:rPr>
                <w:rFonts w:hint="eastAsia" w:ascii="宋体" w:hAnsi="宋体" w:eastAsia="宋体"/>
                <w:lang w:val="en-US" w:eastAsia="zh-CN"/>
              </w:rPr>
              <w:t>一次性使用医用鞋套</w:t>
            </w:r>
          </w:p>
        </w:tc>
        <w:tc>
          <w:tcPr>
            <w:tcW w:w="486"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0.2元</w:t>
            </w:r>
          </w:p>
        </w:tc>
        <w:tc>
          <w:tcPr>
            <w:tcW w:w="485"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60000套</w:t>
            </w:r>
          </w:p>
        </w:tc>
        <w:tc>
          <w:tcPr>
            <w:tcW w:w="2671" w:type="pct"/>
            <w:noWrap w:val="0"/>
            <w:vAlign w:val="top"/>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宋体"/>
                <w:color w:val="000000"/>
                <w:kern w:val="0"/>
                <w:sz w:val="21"/>
                <w:szCs w:val="21"/>
                <w:lang w:val="en-US" w:eastAsia="zh-CN" w:bidi="ar-SA"/>
              </w:rPr>
            </w:pPr>
            <w:r>
              <w:rPr>
                <w:rFonts w:hint="eastAsia" w:ascii="Times New Roman" w:hAnsi="Times New Roman" w:eastAsia="宋体" w:cs="宋体"/>
                <w:color w:val="000000"/>
                <w:kern w:val="0"/>
                <w:sz w:val="21"/>
                <w:szCs w:val="21"/>
                <w:lang w:val="en-US" w:eastAsia="zh-CN" w:bidi="ar-SA"/>
              </w:rPr>
              <w:t>1．主要技术参数要求：</w:t>
            </w:r>
          </w:p>
          <w:p>
            <w:pPr>
              <w:bidi w:val="0"/>
              <w:rPr>
                <w:rFonts w:hint="eastAsia"/>
                <w:lang w:val="en-US" w:eastAsia="zh-CN"/>
              </w:rPr>
            </w:pPr>
            <w:r>
              <w:rPr>
                <w:rFonts w:hint="eastAsia"/>
                <w:lang w:val="en-US" w:eastAsia="zh-CN"/>
              </w:rPr>
              <w:t xml:space="preserve">1.1 </w:t>
            </w:r>
            <w:r>
              <w:rPr>
                <w:rFonts w:hint="eastAsia" w:ascii="Times New Roman" w:hAnsi="Times New Roman" w:eastAsia="宋体" w:cs="宋体"/>
                <w:color w:val="000000"/>
                <w:kern w:val="0"/>
                <w:sz w:val="21"/>
                <w:szCs w:val="21"/>
                <w:lang w:val="en-US" w:eastAsia="zh-CN" w:bidi="ar-SA"/>
              </w:rPr>
              <w:t>对感染性液体起</w:t>
            </w:r>
            <w:r>
              <w:rPr>
                <w:rFonts w:hint="default" w:ascii="Times New Roman" w:hAnsi="Times New Roman" w:eastAsia="宋体" w:cs="宋体"/>
                <w:color w:val="000000"/>
                <w:kern w:val="0"/>
                <w:sz w:val="21"/>
                <w:szCs w:val="21"/>
                <w:lang w:val="en-US" w:eastAsia="zh-CN" w:bidi="ar-SA"/>
              </w:rPr>
              <w:t>阻隔、防护作用</w:t>
            </w:r>
            <w:r>
              <w:rPr>
                <w:rFonts w:hint="eastAsia" w:ascii="Times New Roman" w:hAnsi="Times New Roman" w:eastAsia="宋体" w:cs="宋体"/>
                <w:color w:val="000000"/>
                <w:kern w:val="0"/>
                <w:sz w:val="21"/>
                <w:szCs w:val="21"/>
                <w:lang w:val="en-US" w:eastAsia="zh-CN" w:bidi="ar-SA"/>
              </w:rPr>
              <w:t>。</w:t>
            </w:r>
          </w:p>
          <w:p>
            <w:pPr>
              <w:rPr>
                <w:rFonts w:hint="default"/>
                <w:lang w:val="en-US" w:eastAsia="zh-CN"/>
              </w:rPr>
            </w:pPr>
            <w:r>
              <w:rPr>
                <w:rFonts w:hint="eastAsia" w:ascii="Times New Roman" w:hAnsi="Times New Roman" w:eastAsia="宋体" w:cs="宋体"/>
                <w:color w:val="000000"/>
                <w:kern w:val="0"/>
                <w:sz w:val="21"/>
                <w:szCs w:val="21"/>
                <w:lang w:val="en-US" w:eastAsia="zh-CN" w:bidi="ar-SA"/>
              </w:rPr>
              <w:t>1.2 该产品应经环氧乙烷灭菌。</w:t>
            </w:r>
          </w:p>
        </w:tc>
      </w:tr>
    </w:tbl>
    <w:p>
      <w:pPr>
        <w:pStyle w:val="4"/>
        <w:rPr>
          <w:rFonts w:hint="eastAsia" w:ascii="宋体" w:hAnsi="宋体" w:eastAsia="宋体" w:cs="仿宋"/>
          <w:sz w:val="24"/>
          <w:szCs w:val="24"/>
        </w:rPr>
      </w:pPr>
    </w:p>
    <w:bookmarkEnd w:id="1"/>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rPr>
          <w:rFonts w:hint="eastAsia" w:ascii="Times New Roman" w:hAnsi="Times New Roman" w:eastAsia="宋体" w:cs="Times New Roman"/>
          <w:b w:val="0"/>
          <w:bCs w:val="0"/>
          <w:kern w:val="2"/>
          <w:sz w:val="21"/>
          <w:szCs w:val="22"/>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r>
        <w:rPr>
          <w:rFonts w:hint="eastAsia" w:ascii="Times New Roman" w:hAnsi="Times New Roman" w:eastAsia="宋体" w:cs="Times New Roman"/>
          <w:b w:val="0"/>
          <w:bCs w:val="0"/>
          <w:kern w:val="2"/>
          <w:sz w:val="21"/>
          <w:szCs w:val="22"/>
        </w:rPr>
        <w:br w:type="page"/>
      </w: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3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684"/>
        <w:gridCol w:w="423"/>
        <w:gridCol w:w="5195"/>
        <w:gridCol w:w="4054"/>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318"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19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242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896" w:type="pct"/>
            <w:gridSpan w:val="2"/>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01" w:hRule="atLeast"/>
          <w:jc w:val="center"/>
        </w:trPr>
        <w:tc>
          <w:tcPr>
            <w:tcW w:w="161"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318"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w:t>
            </w:r>
            <w:r>
              <w:rPr>
                <w:rFonts w:hint="eastAsia" w:ascii="宋体" w:hAnsi="宋体" w:cs="Segoe UI"/>
                <w:color w:val="000000"/>
                <w:kern w:val="0"/>
                <w:sz w:val="18"/>
                <w:szCs w:val="18"/>
              </w:rPr>
              <w:t>0%</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426" w:type="pct"/>
            <w:noWrap w:val="0"/>
            <w:vAlign w:val="center"/>
          </w:tcPr>
          <w:p>
            <w:pPr>
              <w:widowControl/>
              <w:wordWrap w:val="0"/>
              <w:spacing w:line="270" w:lineRule="atLeast"/>
              <w:jc w:val="left"/>
              <w:rPr>
                <w:rFonts w:hint="default" w:ascii="宋体" w:hAnsi="宋体" w:cs="Segoe UI" w:eastAsiaTheme="minorEastAsia"/>
                <w:b/>
                <w:kern w:val="0"/>
                <w:sz w:val="18"/>
                <w:szCs w:val="18"/>
                <w:lang w:val="en-US" w:eastAsia="zh-CN" w:bidi="ar-SA"/>
              </w:rPr>
            </w:pPr>
            <w:r>
              <w:rPr>
                <w:rFonts w:hint="eastAsia" w:ascii="宋体" w:hAnsi="宋体" w:cs="Segoe UI"/>
                <w:kern w:val="0"/>
                <w:sz w:val="18"/>
                <w:szCs w:val="18"/>
              </w:rPr>
              <w:t>投标</w:t>
            </w:r>
            <w:r>
              <w:rPr>
                <w:rFonts w:hint="eastAsia" w:ascii="宋体" w:hAnsi="宋体" w:cs="Segoe UI"/>
                <w:kern w:val="0"/>
                <w:sz w:val="18"/>
                <w:szCs w:val="18"/>
                <w:lang w:val="en-US" w:eastAsia="zh-CN"/>
              </w:rPr>
              <w:t>耗材（试剂）</w:t>
            </w:r>
            <w:r>
              <w:rPr>
                <w:rFonts w:hint="eastAsia" w:ascii="宋体" w:hAnsi="宋体" w:cs="Segoe UI"/>
                <w:kern w:val="0"/>
                <w:sz w:val="18"/>
                <w:szCs w:val="18"/>
              </w:rPr>
              <w:t>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40</w:t>
            </w:r>
          </w:p>
        </w:tc>
        <w:tc>
          <w:tcPr>
            <w:tcW w:w="1895" w:type="pct"/>
            <w:noWrap w:val="0"/>
            <w:vAlign w:val="center"/>
          </w:tcPr>
          <w:p>
            <w:pPr>
              <w:widowControl/>
              <w:numPr>
                <w:ilvl w:val="0"/>
                <w:numId w:val="1"/>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1"/>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1337" w:hRule="atLeast"/>
          <w:jc w:val="center"/>
        </w:trPr>
        <w:tc>
          <w:tcPr>
            <w:tcW w:w="161"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318"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40</w:t>
            </w:r>
          </w:p>
        </w:tc>
        <w:tc>
          <w:tcPr>
            <w:tcW w:w="2426"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投标人提供的耗材</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试剂</w:t>
            </w:r>
            <w:r>
              <w:rPr>
                <w:rFonts w:hint="eastAsia" w:ascii="宋体" w:hAnsi="宋体" w:cs="宋体"/>
                <w:kern w:val="0"/>
                <w:sz w:val="18"/>
                <w:szCs w:val="18"/>
                <w:lang w:eastAsia="zh-CN"/>
              </w:rPr>
              <w:t>）</w:t>
            </w:r>
            <w:r>
              <w:rPr>
                <w:rFonts w:hint="eastAsia" w:ascii="宋体" w:hAnsi="宋体" w:cs="宋体"/>
                <w:kern w:val="0"/>
                <w:sz w:val="18"/>
                <w:szCs w:val="18"/>
              </w:rPr>
              <w:t>的技术参数完全符合招标文件要求，没有负</w:t>
            </w:r>
            <w:r>
              <w:rPr>
                <w:rFonts w:hint="eastAsia" w:ascii="宋体" w:hAnsi="宋体" w:cs="宋体"/>
                <w:color w:val="auto"/>
                <w:kern w:val="0"/>
                <w:sz w:val="18"/>
                <w:szCs w:val="18"/>
              </w:rPr>
              <w:t>偏离得</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分；“*”条款技术参数不满足招标文件要求（负偏离），一次扣</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非“*”条款技术参数不满足招标文件要求（负偏离），一次扣</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t>扣完为止。</w:t>
            </w:r>
          </w:p>
        </w:tc>
        <w:tc>
          <w:tcPr>
            <w:tcW w:w="1895" w:type="pct"/>
            <w:noWrap w:val="0"/>
            <w:vAlign w:val="center"/>
          </w:tcPr>
          <w:p>
            <w:pPr>
              <w:widowControl/>
              <w:wordWrap w:val="0"/>
              <w:spacing w:line="270" w:lineRule="atLeast"/>
              <w:jc w:val="left"/>
              <w:rPr>
                <w:rFonts w:hint="eastAsia" w:ascii="宋体" w:hAnsi="宋体" w:cs="Segoe UI"/>
                <w:kern w:val="0"/>
                <w:sz w:val="18"/>
                <w:szCs w:val="18"/>
              </w:rPr>
            </w:pPr>
            <w:r>
              <w:rPr>
                <w:rFonts w:hint="eastAsia" w:ascii="宋体" w:hAnsi="宋体" w:cs="Segoe UI"/>
                <w:kern w:val="0"/>
                <w:sz w:val="18"/>
                <w:szCs w:val="18"/>
              </w:rPr>
              <w:t> “*”条款技术参数供应商须提供技术支撑材料，并在技术响应表中备注技术支撑材料的页码位置，便于快速查阅验证：</w:t>
            </w:r>
          </w:p>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1.国家相关主管部门出具的的技术支持材料，如说明书、注册证、检测报告等；2.技术支持材料，须加盖响应产品制造厂家的印章，或加盖响应产品生产厂家驻中国境内合法直属机构印章，或响应产品生产厂商直接授权的代理商的印章；3.如果没有按照以上要求提供技术支持资料的，该条技术参数在评审中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75" w:hRule="atLeast"/>
          <w:jc w:val="center"/>
        </w:trPr>
        <w:tc>
          <w:tcPr>
            <w:tcW w:w="161"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318"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10</w:t>
            </w:r>
            <w:r>
              <w:rPr>
                <w:rFonts w:hint="eastAsia" w:ascii="宋体" w:hAnsi="宋体" w:cs="Segoe UI"/>
                <w:color w:val="000000"/>
                <w:kern w:val="0"/>
                <w:sz w:val="18"/>
                <w:szCs w:val="18"/>
              </w:rPr>
              <w:t>%</w:t>
            </w:r>
          </w:p>
        </w:tc>
        <w:tc>
          <w:tcPr>
            <w:tcW w:w="19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10</w:t>
            </w:r>
          </w:p>
        </w:tc>
        <w:tc>
          <w:tcPr>
            <w:tcW w:w="2426"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895"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default"/>
                <w:lang w:val="en-US" w:eastAsia="zh-CN"/>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1166" w:hRule="atLeast"/>
          <w:jc w:val="center"/>
        </w:trPr>
        <w:tc>
          <w:tcPr>
            <w:tcW w:w="161"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318"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p>
        </w:tc>
        <w:tc>
          <w:tcPr>
            <w:tcW w:w="196" w:type="pct"/>
            <w:noWrap w:val="0"/>
            <w:vAlign w:val="center"/>
          </w:tcPr>
          <w:p>
            <w:pPr>
              <w:widowControl/>
              <w:spacing w:line="320" w:lineRule="atLeast"/>
              <w:ind w:left="-105" w:leftChars="0" w:right="-107" w:rightChars="0"/>
              <w:jc w:val="center"/>
              <w:rPr>
                <w:rFonts w:hint="default" w:ascii="宋体" w:hAnsi="宋体" w:eastAsia="宋体" w:cs="Segoe UI"/>
                <w:color w:val="333333"/>
                <w:kern w:val="0"/>
                <w:sz w:val="18"/>
                <w:szCs w:val="18"/>
                <w:lang w:val="en-US" w:eastAsia="zh-CN" w:bidi="ar-SA"/>
              </w:rPr>
            </w:pPr>
            <w:r>
              <w:rPr>
                <w:rFonts w:hint="eastAsia" w:ascii="宋体" w:hAnsi="宋体" w:eastAsia="宋体" w:cs="Segoe UI"/>
                <w:color w:val="333333"/>
                <w:kern w:val="0"/>
                <w:sz w:val="18"/>
                <w:szCs w:val="18"/>
                <w:lang w:val="en-US" w:eastAsia="zh-CN" w:bidi="ar-SA"/>
              </w:rPr>
              <w:t>10</w:t>
            </w:r>
          </w:p>
        </w:tc>
        <w:tc>
          <w:tcPr>
            <w:tcW w:w="2426"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w:t>
            </w:r>
            <w:bookmarkStart w:id="135" w:name="_GoBack"/>
            <w:bookmarkEnd w:id="135"/>
            <w:r>
              <w:rPr>
                <w:rFonts w:hint="eastAsia" w:ascii="宋体" w:hAnsi="宋体" w:cs="宋体"/>
                <w:kern w:val="0"/>
                <w:sz w:val="18"/>
                <w:szCs w:val="18"/>
                <w:lang w:bidi="ar"/>
              </w:rPr>
              <w:t>项目实际情况、有利于项目实施的得</w:t>
            </w:r>
            <w:r>
              <w:rPr>
                <w:rFonts w:hint="eastAsia" w:ascii="宋体" w:hAnsi="宋体" w:cs="宋体"/>
                <w:kern w:val="0"/>
                <w:sz w:val="18"/>
                <w:szCs w:val="18"/>
                <w:lang w:val="en-US" w:eastAsia="zh-CN" w:bidi="ar"/>
              </w:rPr>
              <w:t>10</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1895" w:type="pct"/>
            <w:noWrap w:val="0"/>
            <w:vAlign w:val="center"/>
          </w:tcPr>
          <w:p>
            <w:pPr>
              <w:wordWrap w:val="0"/>
              <w:jc w:val="left"/>
              <w:rPr>
                <w:rFonts w:ascii="宋体" w:hAnsi="宋体" w:cs="Segoe UI"/>
                <w:color w:val="000000"/>
                <w:kern w:val="0"/>
                <w:sz w:val="18"/>
                <w:szCs w:val="18"/>
                <w:lang w:val="en-US" w:eastAsia="zh-CN" w:bidi="ar-SA"/>
              </w:rPr>
            </w:pPr>
          </w:p>
        </w:tc>
      </w:tr>
    </w:tbl>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21676"/>
      <w:bookmarkStart w:id="4" w:name="_Toc21163"/>
      <w:bookmarkStart w:id="5" w:name="_Toc3414"/>
      <w:bookmarkStart w:id="6" w:name="_Toc923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60"/>
      <w:bookmarkStart w:id="8" w:name="_Toc30275"/>
      <w:bookmarkStart w:id="9" w:name="_Toc12490"/>
      <w:bookmarkStart w:id="10" w:name="_Toc5208"/>
      <w:bookmarkStart w:id="11" w:name="_Toc5499"/>
      <w:bookmarkStart w:id="12" w:name="_Toc10689"/>
      <w:bookmarkStart w:id="13" w:name="_Toc11076"/>
      <w:bookmarkStart w:id="14" w:name="_Toc14802"/>
      <w:bookmarkStart w:id="15" w:name="_Toc30494"/>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26481"/>
      <w:bookmarkStart w:id="17" w:name="_Toc10948"/>
      <w:bookmarkStart w:id="18" w:name="_Toc13021"/>
      <w:bookmarkStart w:id="19" w:name="_Toc10183"/>
      <w:bookmarkStart w:id="20" w:name="_Toc30724"/>
      <w:bookmarkStart w:id="21" w:name="_Toc32214"/>
      <w:bookmarkStart w:id="22" w:name="_Toc28103"/>
      <w:bookmarkStart w:id="23" w:name="_Toc7067"/>
      <w:bookmarkStart w:id="24" w:name="_Toc3081"/>
      <w:bookmarkStart w:id="25" w:name="_Toc9131"/>
      <w:bookmarkStart w:id="26" w:name="_Toc3912"/>
      <w:bookmarkStart w:id="27" w:name="_Toc3447"/>
      <w:bookmarkStart w:id="28" w:name="_Toc30080"/>
      <w:bookmarkStart w:id="29" w:name="_Toc18879"/>
      <w:bookmarkStart w:id="30" w:name="_Toc19115"/>
      <w:bookmarkStart w:id="31" w:name="_Toc3392"/>
      <w:bookmarkStart w:id="32" w:name="_Toc8717"/>
      <w:bookmarkStart w:id="33" w:name="_Toc18513"/>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23645"/>
      <w:bookmarkStart w:id="35" w:name="_Toc30649"/>
      <w:bookmarkStart w:id="36" w:name="_Toc9042"/>
      <w:bookmarkStart w:id="37" w:name="_Toc30920"/>
      <w:bookmarkStart w:id="38" w:name="_Toc22795"/>
      <w:bookmarkStart w:id="39" w:name="_Toc18259"/>
      <w:bookmarkStart w:id="40" w:name="_Toc15196"/>
      <w:bookmarkStart w:id="41" w:name="_Toc10142"/>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3534"/>
      <w:bookmarkStart w:id="47" w:name="_Toc21988"/>
      <w:bookmarkStart w:id="48" w:name="_Toc24117"/>
      <w:bookmarkStart w:id="49" w:name="_Toc4775"/>
      <w:bookmarkStart w:id="50" w:name="_Toc30083"/>
      <w:bookmarkStart w:id="51" w:name="_Toc26548"/>
      <w:bookmarkStart w:id="52" w:name="_Toc19600"/>
      <w:bookmarkStart w:id="53" w:name="_Toc25516"/>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7376"/>
      <w:bookmarkStart w:id="55" w:name="_Toc14887"/>
      <w:bookmarkStart w:id="56" w:name="_Toc32166"/>
      <w:bookmarkStart w:id="57" w:name="_Toc21982"/>
      <w:bookmarkStart w:id="58" w:name="_Toc16764"/>
      <w:bookmarkStart w:id="59" w:name="_Toc23192"/>
      <w:bookmarkStart w:id="60" w:name="_Toc22198"/>
      <w:bookmarkStart w:id="61" w:name="_Toc691"/>
      <w:bookmarkStart w:id="62" w:name="_Toc12333"/>
      <w:bookmarkStart w:id="63" w:name="_Toc16666"/>
      <w:bookmarkStart w:id="64" w:name="_Toc3494"/>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4269"/>
      <w:bookmarkStart w:id="66" w:name="_Toc3943"/>
      <w:bookmarkStart w:id="67" w:name="_Toc25068"/>
      <w:bookmarkStart w:id="68" w:name="_Toc4577"/>
      <w:bookmarkStart w:id="69" w:name="_Toc31581"/>
      <w:bookmarkStart w:id="70" w:name="_Toc22606"/>
      <w:bookmarkStart w:id="71" w:name="_Toc9263"/>
      <w:bookmarkStart w:id="72" w:name="_Toc1371"/>
      <w:bookmarkStart w:id="73" w:name="_Toc11914"/>
      <w:bookmarkStart w:id="74" w:name="_Toc5412"/>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0600"/>
      <w:bookmarkStart w:id="77" w:name="_Toc17108"/>
      <w:bookmarkStart w:id="78" w:name="_Toc3908"/>
      <w:bookmarkStart w:id="79" w:name="_Toc11489"/>
      <w:bookmarkStart w:id="80" w:name="_Toc2937"/>
      <w:bookmarkStart w:id="81" w:name="_Toc31890"/>
      <w:bookmarkStart w:id="82" w:name="_Toc29190"/>
      <w:bookmarkStart w:id="83" w:name="_Toc13267"/>
      <w:bookmarkStart w:id="84" w:name="_Toc2316"/>
      <w:bookmarkStart w:id="85" w:name="_Toc18935"/>
      <w:bookmarkStart w:id="86" w:name="_Toc1367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313"/>
      <w:bookmarkStart w:id="88" w:name="_Toc31638"/>
      <w:bookmarkStart w:id="89" w:name="_Toc12088"/>
      <w:bookmarkStart w:id="90" w:name="_Toc15916"/>
      <w:bookmarkStart w:id="91" w:name="_Toc14252"/>
      <w:bookmarkStart w:id="92" w:name="_Toc24122"/>
      <w:bookmarkStart w:id="93" w:name="_Toc32365"/>
      <w:bookmarkStart w:id="94" w:name="_Toc21351"/>
      <w:bookmarkStart w:id="95" w:name="_Toc26756"/>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0583"/>
      <w:bookmarkStart w:id="98" w:name="_Toc27985"/>
      <w:bookmarkStart w:id="99" w:name="_Toc23212"/>
      <w:bookmarkStart w:id="100" w:name="_Toc11278"/>
      <w:bookmarkStart w:id="101" w:name="_Toc22760"/>
      <w:bookmarkStart w:id="102" w:name="_Toc27948"/>
      <w:bookmarkStart w:id="103" w:name="_Toc26609"/>
      <w:bookmarkStart w:id="104" w:name="_Toc9398"/>
      <w:bookmarkStart w:id="105" w:name="_Toc29215"/>
      <w:bookmarkStart w:id="106" w:name="_Toc19589"/>
      <w:bookmarkStart w:id="107" w:name="_Toc15894"/>
      <w:bookmarkStart w:id="108" w:name="_Toc18046"/>
      <w:bookmarkStart w:id="109" w:name="_Toc15083"/>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9648"/>
      <w:bookmarkStart w:id="111" w:name="_Toc757"/>
      <w:bookmarkStart w:id="112" w:name="_Toc8083"/>
      <w:bookmarkStart w:id="113" w:name="_Toc24107"/>
      <w:bookmarkStart w:id="114" w:name="_Toc8348"/>
      <w:bookmarkStart w:id="115" w:name="_Toc24671"/>
      <w:bookmarkStart w:id="116" w:name="_Toc27767"/>
      <w:bookmarkStart w:id="117" w:name="_Toc17741"/>
      <w:bookmarkStart w:id="118" w:name="_Toc14546"/>
      <w:bookmarkStart w:id="119" w:name="_Toc17204"/>
      <w:bookmarkStart w:id="120" w:name="_Toc24655"/>
      <w:bookmarkStart w:id="121" w:name="_Toc8940"/>
      <w:bookmarkStart w:id="122" w:name="_Toc411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4280"/>
      <w:bookmarkStart w:id="124" w:name="_Toc2003"/>
      <w:bookmarkStart w:id="125" w:name="_Toc10945"/>
      <w:bookmarkStart w:id="126" w:name="_Toc15917"/>
      <w:bookmarkStart w:id="127" w:name="_Toc14781"/>
      <w:bookmarkStart w:id="128" w:name="_Toc12682"/>
      <w:bookmarkStart w:id="129" w:name="_Toc10950"/>
      <w:bookmarkStart w:id="130" w:name="_Toc8524"/>
      <w:bookmarkStart w:id="131" w:name="_Toc20745"/>
      <w:bookmarkStart w:id="132" w:name="_Toc10308"/>
      <w:bookmarkStart w:id="133" w:name="_Toc5840"/>
      <w:bookmarkStart w:id="134" w:name="_Toc2224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8F398F"/>
    <w:rsid w:val="07953CAB"/>
    <w:rsid w:val="07B925A7"/>
    <w:rsid w:val="0BF815CE"/>
    <w:rsid w:val="0E911C5D"/>
    <w:rsid w:val="10954EC2"/>
    <w:rsid w:val="12A81059"/>
    <w:rsid w:val="14456F80"/>
    <w:rsid w:val="195D2073"/>
    <w:rsid w:val="1A37043E"/>
    <w:rsid w:val="228C2840"/>
    <w:rsid w:val="272816FC"/>
    <w:rsid w:val="28203DA9"/>
    <w:rsid w:val="357C4381"/>
    <w:rsid w:val="364F4E7F"/>
    <w:rsid w:val="365344A5"/>
    <w:rsid w:val="396510AC"/>
    <w:rsid w:val="3ED3727D"/>
    <w:rsid w:val="405F3E1B"/>
    <w:rsid w:val="418C3125"/>
    <w:rsid w:val="41EE0E8D"/>
    <w:rsid w:val="48983A5D"/>
    <w:rsid w:val="4A1E6FA7"/>
    <w:rsid w:val="4AE36A9A"/>
    <w:rsid w:val="4B7A520A"/>
    <w:rsid w:val="4EE10A0C"/>
    <w:rsid w:val="51CB3FD0"/>
    <w:rsid w:val="5536063D"/>
    <w:rsid w:val="55F211D3"/>
    <w:rsid w:val="577B25E6"/>
    <w:rsid w:val="5C452678"/>
    <w:rsid w:val="5FEC0FA4"/>
    <w:rsid w:val="61DB5EE7"/>
    <w:rsid w:val="62FA0171"/>
    <w:rsid w:val="637366D0"/>
    <w:rsid w:val="63E72E68"/>
    <w:rsid w:val="64ED5044"/>
    <w:rsid w:val="65C660EF"/>
    <w:rsid w:val="65DA011F"/>
    <w:rsid w:val="66D20681"/>
    <w:rsid w:val="672843F4"/>
    <w:rsid w:val="6A052BEC"/>
    <w:rsid w:val="6A38583D"/>
    <w:rsid w:val="6C0F1984"/>
    <w:rsid w:val="6CF82393"/>
    <w:rsid w:val="701306BF"/>
    <w:rsid w:val="710D63F2"/>
    <w:rsid w:val="71D57369"/>
    <w:rsid w:val="75233D75"/>
    <w:rsid w:val="77490A08"/>
    <w:rsid w:val="78BA1DAC"/>
    <w:rsid w:val="799A6260"/>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3</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小月妹</cp:lastModifiedBy>
  <cp:lastPrinted>2023-11-28T02:25:00Z</cp:lastPrinted>
  <dcterms:modified xsi:type="dcterms:W3CDTF">2023-12-29T09:31:08Z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