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四川省妇幼保健院  四川省妇女儿童医院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right="0"/>
        <w:jc w:val="center"/>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lang w:val="en-US" w:eastAsia="zh-CN"/>
        </w:rPr>
        <w:t>抚琴院区废气处理改造（第二次）采购项目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right="0"/>
        <w:jc w:val="center"/>
        <w:rPr>
          <w:rFonts w:hint="eastAsia" w:ascii="黑体" w:hAnsi="黑体" w:eastAsia="黑体" w:cs="黑体"/>
          <w:b/>
          <w:bCs w:val="0"/>
          <w:color w:val="auto"/>
          <w:sz w:val="32"/>
          <w:szCs w:val="32"/>
          <w:highlight w:val="none"/>
          <w:lang w:eastAsia="zh-CN"/>
        </w:rPr>
      </w:pPr>
      <w:r>
        <w:rPr>
          <w:rFonts w:hint="eastAsia" w:ascii="黑体" w:hAnsi="黑体" w:eastAsia="黑体" w:cs="黑体"/>
          <w:b/>
          <w:bCs w:val="0"/>
          <w:color w:val="auto"/>
          <w:sz w:val="32"/>
          <w:szCs w:val="32"/>
          <w:highlight w:val="none"/>
          <w:lang w:eastAsia="zh-CN"/>
        </w:rPr>
        <w:t>采购公告</w:t>
      </w:r>
    </w:p>
    <w:p>
      <w:pPr>
        <w:spacing w:line="480" w:lineRule="auto"/>
        <w:jc w:val="center"/>
        <w:rPr>
          <w:rFonts w:hint="eastAsia" w:ascii="黑体" w:hAnsi="黑体" w:eastAsia="黑体" w:cs="黑体"/>
          <w:b/>
          <w:bCs w:val="0"/>
          <w:color w:val="auto"/>
          <w:sz w:val="32"/>
          <w:szCs w:val="32"/>
          <w:highlight w:val="none"/>
          <w:lang w:eastAsia="zh-CN"/>
        </w:rPr>
      </w:pPr>
      <w:r>
        <w:rPr>
          <w:rFonts w:hint="eastAsia" w:ascii="黑体" w:hAnsi="黑体" w:eastAsia="黑体" w:cs="黑体"/>
          <w:b/>
          <w:bCs w:val="0"/>
          <w:color w:val="auto"/>
          <w:sz w:val="32"/>
          <w:szCs w:val="32"/>
          <w:highlight w:val="none"/>
        </w:rPr>
        <w:t>采购编号：</w:t>
      </w:r>
      <w:r>
        <w:rPr>
          <w:rFonts w:hint="eastAsia" w:ascii="黑体" w:hAnsi="黑体" w:eastAsia="黑体" w:cs="黑体"/>
          <w:b/>
          <w:bCs w:val="0"/>
          <w:color w:val="auto"/>
          <w:sz w:val="32"/>
          <w:szCs w:val="32"/>
          <w:highlight w:val="none"/>
          <w:lang w:eastAsia="zh-CN"/>
        </w:rPr>
        <w:t xml:space="preserve"> </w:t>
      </w:r>
      <w:r>
        <w:rPr>
          <w:rFonts w:hint="eastAsia" w:ascii="黑体" w:hAnsi="黑体" w:eastAsia="黑体" w:cs="黑体"/>
          <w:b/>
          <w:bCs w:val="0"/>
          <w:color w:val="auto"/>
          <w:sz w:val="32"/>
          <w:szCs w:val="32"/>
          <w:highlight w:val="none"/>
          <w:lang w:val="en-US" w:eastAsia="zh-CN"/>
        </w:rPr>
        <w:t>SCFY-HQ202312-003</w:t>
      </w:r>
      <w:r>
        <w:rPr>
          <w:rFonts w:hint="eastAsia" w:ascii="黑体" w:hAnsi="黑体" w:eastAsia="黑体" w:cs="黑体"/>
          <w:b/>
          <w:bCs w:val="0"/>
          <w:color w:val="auto"/>
          <w:sz w:val="32"/>
          <w:szCs w:val="32"/>
          <w:highlight w:val="none"/>
        </w:rPr>
        <w:t>（磋）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right="0"/>
        <w:jc w:val="both"/>
        <w:rPr>
          <w:rFonts w:hint="eastAsia" w:ascii="仿宋_GB2312" w:hAnsi="仿宋_GB2312" w:eastAsia="仿宋_GB2312" w:cs="仿宋_GB2312"/>
          <w:color w:val="auto"/>
          <w:sz w:val="28"/>
          <w:szCs w:val="28"/>
          <w:highlight w:val="none"/>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潜在供应商：</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我院将召开“抚琴院区废气处理改造</w:t>
      </w:r>
      <w:r>
        <w:rPr>
          <w:rFonts w:hint="eastAsia" w:ascii="宋体" w:hAnsi="宋体" w:cs="宋体"/>
          <w:i w:val="0"/>
          <w:iCs w:val="0"/>
          <w:caps w:val="0"/>
          <w:color w:val="auto"/>
          <w:spacing w:val="0"/>
          <w:sz w:val="24"/>
          <w:szCs w:val="24"/>
          <w:highlight w:val="none"/>
          <w:shd w:val="clear" w:color="auto" w:fill="FFFFFF"/>
          <w:lang w:val="en-US" w:eastAsia="zh-CN"/>
        </w:rPr>
        <w:t>（第二次）</w:t>
      </w:r>
      <w:r>
        <w:rPr>
          <w:rFonts w:hint="eastAsia" w:ascii="宋体" w:hAnsi="宋体" w:eastAsia="宋体" w:cs="宋体"/>
          <w:i w:val="0"/>
          <w:iCs w:val="0"/>
          <w:caps w:val="0"/>
          <w:color w:val="auto"/>
          <w:spacing w:val="0"/>
          <w:sz w:val="24"/>
          <w:szCs w:val="24"/>
          <w:highlight w:val="none"/>
          <w:shd w:val="clear" w:color="auto" w:fill="FFFFFF"/>
          <w:lang w:val="en-US" w:eastAsia="zh-CN"/>
        </w:rPr>
        <w:t>”院内采购会议，会议由后勤保障部组织。届时，请投标人准时参加，务必提供公司资质文件（密封盖章）、采购投标文件（密封盖章）、报价一览表（密封盖章）等资料，具体事项如下：</w:t>
      </w:r>
    </w:p>
    <w:p>
      <w:pPr>
        <w:pStyle w:val="9"/>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firstLine="42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会议时间：</w:t>
      </w:r>
      <w:r>
        <w:rPr>
          <w:rFonts w:hint="eastAsia" w:ascii="宋体" w:hAnsi="宋体" w:cs="宋体"/>
          <w:i w:val="0"/>
          <w:iCs w:val="0"/>
          <w:caps w:val="0"/>
          <w:color w:val="auto"/>
          <w:spacing w:val="0"/>
          <w:sz w:val="24"/>
          <w:szCs w:val="24"/>
          <w:highlight w:val="none"/>
          <w:shd w:val="clear" w:color="auto" w:fill="FFFFFF"/>
          <w:lang w:eastAsia="zh-CN"/>
        </w:rPr>
        <w:t>2024年1月9日（星期二）上午9:00</w:t>
      </w:r>
    </w:p>
    <w:p>
      <w:pPr>
        <w:pStyle w:val="9"/>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0" w:leftChars="0" w:right="0" w:rightChars="0" w:firstLine="420" w:firstLine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会议地点：四川省妇幼保健院</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晋阳院区</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lang w:val="en-US" w:eastAsia="zh-CN"/>
        </w:rPr>
        <w:t>综合楼五楼小会议室</w:t>
      </w:r>
      <w:r>
        <w:rPr>
          <w:rFonts w:hint="eastAsia" w:ascii="宋体" w:hAnsi="宋体" w:eastAsia="宋体" w:cs="宋体"/>
          <w:i w:val="0"/>
          <w:iCs w:val="0"/>
          <w:caps w:val="0"/>
          <w:color w:val="auto"/>
          <w:spacing w:val="0"/>
          <w:sz w:val="24"/>
          <w:szCs w:val="24"/>
          <w:highlight w:val="none"/>
          <w:shd w:val="clear" w:color="auto" w:fill="FFFFFF"/>
        </w:rPr>
        <w:t xml:space="preserve">      </w:t>
      </w:r>
    </w:p>
    <w:p>
      <w:pPr>
        <w:pStyle w:val="9"/>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3.采购方式说明：</w:t>
      </w:r>
    </w:p>
    <w:p>
      <w:pPr>
        <w:pStyle w:val="9"/>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3.1本次采购拟采用</w:t>
      </w:r>
      <w:r>
        <w:rPr>
          <w:rFonts w:hint="eastAsia" w:ascii="宋体" w:hAnsi="宋体" w:eastAsia="宋体" w:cs="宋体"/>
          <w:i w:val="0"/>
          <w:iCs w:val="0"/>
          <w:caps w:val="0"/>
          <w:color w:val="auto"/>
          <w:spacing w:val="0"/>
          <w:sz w:val="24"/>
          <w:szCs w:val="24"/>
          <w:highlight w:val="none"/>
          <w:shd w:val="clear" w:color="auto" w:fill="FFFFFF"/>
          <w:lang w:eastAsia="zh-CN"/>
        </w:rPr>
        <w:t>竞争性磋商方式</w:t>
      </w:r>
      <w:r>
        <w:rPr>
          <w:rFonts w:hint="eastAsia" w:ascii="宋体" w:hAnsi="宋体" w:eastAsia="宋体" w:cs="宋体"/>
          <w:i w:val="0"/>
          <w:iCs w:val="0"/>
          <w:caps w:val="0"/>
          <w:color w:val="auto"/>
          <w:spacing w:val="0"/>
          <w:sz w:val="24"/>
          <w:szCs w:val="24"/>
          <w:highlight w:val="none"/>
          <w:shd w:val="clear" w:color="auto" w:fill="FFFFFF"/>
        </w:rPr>
        <w:t>，评审小组成员由</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后勤保障部及院外专家</w:t>
      </w:r>
      <w:r>
        <w:rPr>
          <w:rFonts w:hint="eastAsia" w:ascii="宋体" w:hAnsi="宋体" w:eastAsia="宋体" w:cs="宋体"/>
          <w:i w:val="0"/>
          <w:iCs w:val="0"/>
          <w:caps w:val="0"/>
          <w:color w:val="auto"/>
          <w:spacing w:val="0"/>
          <w:sz w:val="24"/>
          <w:szCs w:val="24"/>
          <w:highlight w:val="none"/>
          <w:shd w:val="clear" w:color="auto" w:fill="FFFFFF"/>
        </w:rPr>
        <w:t>共5名人员组成。根据投标人制作的《采购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份)、最终报价函以及</w:t>
      </w:r>
      <w:r>
        <w:rPr>
          <w:rFonts w:hint="eastAsia" w:ascii="宋体" w:hAnsi="宋体" w:eastAsia="宋体" w:cs="宋体"/>
          <w:i w:val="0"/>
          <w:iCs w:val="0"/>
          <w:caps w:val="0"/>
          <w:color w:val="auto"/>
          <w:spacing w:val="0"/>
          <w:sz w:val="24"/>
          <w:szCs w:val="24"/>
          <w:highlight w:val="none"/>
          <w:shd w:val="clear" w:color="auto" w:fill="FFFFFF"/>
          <w:lang w:val="en-US" w:eastAsia="zh-CN"/>
        </w:rPr>
        <w:t>磋商</w:t>
      </w:r>
      <w:r>
        <w:rPr>
          <w:rFonts w:hint="eastAsia" w:ascii="宋体" w:hAnsi="宋体" w:eastAsia="宋体" w:cs="宋体"/>
          <w:i w:val="0"/>
          <w:iCs w:val="0"/>
          <w:caps w:val="0"/>
          <w:color w:val="auto"/>
          <w:spacing w:val="0"/>
          <w:sz w:val="24"/>
          <w:szCs w:val="24"/>
          <w:highlight w:val="none"/>
          <w:shd w:val="clear" w:color="auto" w:fill="FFFFFF"/>
        </w:rPr>
        <w:t>情况予以评标，推荐成交投标人。</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结束</w:t>
      </w:r>
      <w:r>
        <w:rPr>
          <w:rFonts w:hint="eastAsia" w:ascii="宋体" w:hAnsi="宋体" w:eastAsia="宋体" w:cs="宋体"/>
          <w:i w:val="0"/>
          <w:iCs w:val="0"/>
          <w:caps w:val="0"/>
          <w:color w:val="auto"/>
          <w:spacing w:val="0"/>
          <w:sz w:val="24"/>
          <w:szCs w:val="24"/>
          <w:highlight w:val="none"/>
          <w:shd w:val="clear" w:color="auto" w:fill="FFFFFF"/>
          <w:lang w:val="en-US" w:eastAsia="zh-CN"/>
        </w:rPr>
        <w:t>7个工作日</w:t>
      </w:r>
      <w:r>
        <w:rPr>
          <w:rFonts w:hint="eastAsia" w:ascii="宋体" w:hAnsi="宋体" w:eastAsia="宋体" w:cs="宋体"/>
          <w:i w:val="0"/>
          <w:iCs w:val="0"/>
          <w:caps w:val="0"/>
          <w:color w:val="auto"/>
          <w:spacing w:val="0"/>
          <w:sz w:val="24"/>
          <w:szCs w:val="24"/>
          <w:highlight w:val="none"/>
          <w:shd w:val="clear" w:color="auto" w:fill="FFFFFF"/>
        </w:rPr>
        <w:t>内，医院将中标结果通知投标人。</w:t>
      </w:r>
    </w:p>
    <w:p>
      <w:pPr>
        <w:keepNext w:val="0"/>
        <w:keepLines w:val="0"/>
        <w:pageBreakBefore w:val="0"/>
        <w:kinsoku/>
        <w:wordWrap/>
        <w:overflowPunct/>
        <w:topLinePunct w:val="0"/>
        <w:autoSpaceDE/>
        <w:autoSpaceDN/>
        <w:bidi w:val="0"/>
        <w:adjustRightInd/>
        <w:snapToGrid/>
        <w:spacing w:beforeAutospacing="0" w:line="360" w:lineRule="auto"/>
        <w:ind w:left="479" w:leftChars="228" w:firstLine="0" w:firstLine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3.2请仔细阅读《采购文件》的相关内容，如有贻误，后果自负。</w:t>
      </w:r>
    </w:p>
    <w:p>
      <w:pPr>
        <w:keepNext w:val="0"/>
        <w:keepLines w:val="0"/>
        <w:pageBreakBefore w:val="0"/>
        <w:kinsoku/>
        <w:wordWrap/>
        <w:overflowPunct/>
        <w:topLinePunct w:val="0"/>
        <w:autoSpaceDE/>
        <w:autoSpaceDN/>
        <w:bidi w:val="0"/>
        <w:adjustRightInd/>
        <w:snapToGrid/>
        <w:spacing w:before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3.3如果本次采购项目，存在不符合市场调查、资格主体异常、过程违规等情况，可以暂不采购，无义务向投标人解释具体原因。</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w:t>
      </w:r>
      <w:r>
        <w:rPr>
          <w:rFonts w:hint="eastAsia" w:ascii="宋体" w:hAnsi="宋体" w:eastAsia="宋体" w:cs="宋体"/>
          <w:b/>
          <w:bCs/>
          <w:i w:val="0"/>
          <w:iCs w:val="0"/>
          <w:caps w:val="0"/>
          <w:color w:val="auto"/>
          <w:spacing w:val="0"/>
          <w:sz w:val="24"/>
          <w:szCs w:val="24"/>
          <w:highlight w:val="none"/>
          <w:shd w:val="clear" w:color="auto" w:fill="FFFFFF"/>
        </w:rPr>
        <w:t>投标人的要求（其中4.2.1-4.2.</w:t>
      </w:r>
      <w:r>
        <w:rPr>
          <w:rFonts w:hint="eastAsia" w:ascii="宋体" w:hAnsi="宋体" w:cs="宋体"/>
          <w:b/>
          <w:bCs/>
          <w:i w:val="0"/>
          <w:iCs w:val="0"/>
          <w:caps w:val="0"/>
          <w:color w:val="auto"/>
          <w:spacing w:val="0"/>
          <w:sz w:val="24"/>
          <w:szCs w:val="24"/>
          <w:highlight w:val="none"/>
          <w:shd w:val="clear" w:color="auto" w:fill="FFFFFF"/>
          <w:lang w:val="en-US" w:eastAsia="zh-CN"/>
        </w:rPr>
        <w:t>5</w:t>
      </w:r>
      <w:r>
        <w:rPr>
          <w:rFonts w:hint="eastAsia" w:ascii="宋体" w:hAnsi="宋体" w:eastAsia="宋体" w:cs="宋体"/>
          <w:b/>
          <w:bCs/>
          <w:i w:val="0"/>
          <w:iCs w:val="0"/>
          <w:caps w:val="0"/>
          <w:color w:val="auto"/>
          <w:spacing w:val="0"/>
          <w:sz w:val="24"/>
          <w:szCs w:val="24"/>
          <w:highlight w:val="none"/>
          <w:shd w:val="clear" w:color="auto" w:fill="FFFFFF"/>
        </w:rPr>
        <w:t>为资格证明文件）</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需单独密封</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4.1在中国境内注册并具有独立法人资格的合法企业；</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4.2投标人应提供以下资料(复印件加盖鲜章)：</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4.2.1有效的三证合一营业执照（副本）；</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4.2.2法定代表人身份授权书（原件，格式见附件</w:t>
      </w:r>
      <w:r>
        <w:rPr>
          <w:rFonts w:hint="eastAsia" w:ascii="宋体" w:hAnsi="宋体" w:eastAsia="宋体" w:cs="宋体"/>
          <w:i w:val="0"/>
          <w:iCs w:val="0"/>
          <w:caps w:val="0"/>
          <w:color w:val="auto"/>
          <w:spacing w:val="0"/>
          <w:sz w:val="24"/>
          <w:szCs w:val="24"/>
          <w:highlight w:val="none"/>
          <w:shd w:val="clear" w:color="auto" w:fill="FFFFFF"/>
          <w:lang w:val="en-US" w:eastAsia="zh-CN"/>
        </w:rPr>
        <w:t>2</w:t>
      </w:r>
      <w:r>
        <w:rPr>
          <w:rFonts w:hint="eastAsia" w:ascii="宋体" w:hAnsi="宋体" w:cs="宋体"/>
          <w:i w:val="0"/>
          <w:iCs w:val="0"/>
          <w:caps w:val="0"/>
          <w:color w:val="auto"/>
          <w:spacing w:val="0"/>
          <w:sz w:val="24"/>
          <w:szCs w:val="24"/>
          <w:highlight w:val="none"/>
          <w:shd w:val="clear" w:color="auto" w:fill="FFFFFF"/>
          <w:lang w:val="en-US" w:eastAsia="zh-CN"/>
        </w:rPr>
        <w:t>-2</w:t>
      </w:r>
      <w:r>
        <w:rPr>
          <w:rFonts w:hint="eastAsia" w:ascii="宋体" w:hAnsi="宋体" w:eastAsia="宋体" w:cs="宋体"/>
          <w:i w:val="0"/>
          <w:iCs w:val="0"/>
          <w:caps w:val="0"/>
          <w:color w:val="auto"/>
          <w:spacing w:val="0"/>
          <w:sz w:val="24"/>
          <w:szCs w:val="24"/>
          <w:highlight w:val="none"/>
          <w:shd w:val="clear" w:color="auto" w:fill="FFFFFF"/>
        </w:rPr>
        <w:t>）,法定代表人和经办人身份证复印件；</w:t>
      </w:r>
    </w:p>
    <w:p>
      <w:pPr>
        <w:keepNext w:val="0"/>
        <w:keepLines w:val="0"/>
        <w:pageBreakBefore w:val="0"/>
        <w:kinsoku/>
        <w:wordWrap/>
        <w:overflowPunct/>
        <w:topLinePunct w:val="0"/>
        <w:bidi w:val="0"/>
        <w:spacing w:before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4.2.</w:t>
      </w:r>
      <w:r>
        <w:rPr>
          <w:rFonts w:hint="eastAsia" w:ascii="宋体" w:hAnsi="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color w:val="auto"/>
          <w:sz w:val="24"/>
          <w:szCs w:val="24"/>
          <w:highlight w:val="none"/>
          <w:lang w:val="en-US" w:eastAsia="zh-CN"/>
        </w:rPr>
        <w:t>投标人必须具备有效期内的《安全生产许可证》</w:t>
      </w:r>
      <w:r>
        <w:rPr>
          <w:rFonts w:hint="eastAsia" w:ascii="宋体" w:hAnsi="宋体" w:eastAsia="宋体" w:cs="宋体"/>
          <w:b w:val="0"/>
          <w:i w:val="0"/>
          <w:caps w:val="0"/>
          <w:color w:val="auto"/>
          <w:spacing w:val="0"/>
          <w:sz w:val="24"/>
          <w:szCs w:val="24"/>
          <w:highlight w:val="none"/>
          <w:shd w:val="clear" w:color="auto" w:fill="F4F5F6"/>
          <w:vertAlign w:val="baseline"/>
          <w:lang w:eastAsia="zh-CN" w:bidi="ar-SA"/>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left="0" w:right="0" w:firstLine="42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4.2.</w:t>
      </w:r>
      <w:r>
        <w:rPr>
          <w:rFonts w:hint="eastAsia" w:ascii="宋体" w:hAnsi="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具有良好的商业信誉和健全的财务会计制度，投标人提供承诺函</w:t>
      </w:r>
      <w:r>
        <w:rPr>
          <w:rFonts w:hint="eastAsia" w:ascii="宋体" w:hAnsi="宋体" w:cs="宋体"/>
          <w:i w:val="0"/>
          <w:iCs w:val="0"/>
          <w:caps w:val="0"/>
          <w:color w:val="auto"/>
          <w:spacing w:val="0"/>
          <w:sz w:val="24"/>
          <w:szCs w:val="24"/>
          <w:highlight w:val="none"/>
          <w:shd w:val="clear" w:color="auto" w:fill="FFFFFF"/>
          <w:lang w:eastAsia="zh-CN"/>
        </w:rPr>
        <w:t>（</w:t>
      </w:r>
      <w:r>
        <w:rPr>
          <w:rFonts w:hint="eastAsia" w:ascii="宋体" w:hAnsi="宋体" w:cs="宋体"/>
          <w:i w:val="0"/>
          <w:iCs w:val="0"/>
          <w:caps w:val="0"/>
          <w:color w:val="auto"/>
          <w:spacing w:val="0"/>
          <w:sz w:val="24"/>
          <w:szCs w:val="24"/>
          <w:highlight w:val="none"/>
          <w:shd w:val="clear" w:color="auto" w:fill="FFFFFF"/>
          <w:lang w:val="en-US" w:eastAsia="zh-CN"/>
        </w:rPr>
        <w:t>见附件2-5</w:t>
      </w:r>
      <w:r>
        <w:rPr>
          <w:rFonts w:hint="eastAsia" w:ascii="宋体" w:hAnsi="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4.2.</w:t>
      </w:r>
      <w:r>
        <w:rPr>
          <w:rFonts w:hint="eastAsia" w:ascii="宋体" w:hAnsi="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具有履行合同所必须的设备和专业技术能力，投标人提供承诺函</w:t>
      </w:r>
      <w:r>
        <w:rPr>
          <w:rFonts w:hint="eastAsia" w:ascii="宋体" w:hAnsi="宋体" w:cs="宋体"/>
          <w:i w:val="0"/>
          <w:iCs w:val="0"/>
          <w:caps w:val="0"/>
          <w:color w:val="auto"/>
          <w:spacing w:val="0"/>
          <w:sz w:val="24"/>
          <w:szCs w:val="24"/>
          <w:highlight w:val="none"/>
          <w:shd w:val="clear" w:color="auto" w:fill="FFFFFF"/>
          <w:lang w:eastAsia="zh-CN"/>
        </w:rPr>
        <w:t>（</w:t>
      </w:r>
      <w:r>
        <w:rPr>
          <w:rFonts w:hint="eastAsia" w:ascii="宋体" w:hAnsi="宋体" w:cs="宋体"/>
          <w:i w:val="0"/>
          <w:iCs w:val="0"/>
          <w:caps w:val="0"/>
          <w:color w:val="auto"/>
          <w:spacing w:val="0"/>
          <w:sz w:val="24"/>
          <w:szCs w:val="24"/>
          <w:highlight w:val="none"/>
          <w:shd w:val="clear" w:color="auto" w:fill="FFFFFF"/>
          <w:lang w:val="en-US" w:eastAsia="zh-CN"/>
        </w:rPr>
        <w:t>见附件2-6</w:t>
      </w:r>
      <w:r>
        <w:rPr>
          <w:rFonts w:hint="eastAsia" w:ascii="宋体" w:hAnsi="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4.2.</w:t>
      </w:r>
      <w:r>
        <w:rPr>
          <w:rFonts w:hint="eastAsia" w:ascii="宋体" w:hAnsi="宋体" w:cs="宋体"/>
          <w:i w:val="0"/>
          <w:iCs w:val="0"/>
          <w:caps w:val="0"/>
          <w:color w:val="auto"/>
          <w:spacing w:val="0"/>
          <w:sz w:val="24"/>
          <w:szCs w:val="24"/>
          <w:highlight w:val="none"/>
          <w:shd w:val="clear" w:color="auto" w:fill="FFFFFF"/>
          <w:lang w:val="en-US" w:eastAsia="zh-CN"/>
        </w:rPr>
        <w:t>6</w:t>
      </w:r>
      <w:r>
        <w:rPr>
          <w:rFonts w:hint="eastAsia" w:ascii="宋体" w:hAnsi="宋体" w:eastAsia="宋体" w:cs="宋体"/>
          <w:i w:val="0"/>
          <w:iCs w:val="0"/>
          <w:caps w:val="0"/>
          <w:color w:val="auto"/>
          <w:spacing w:val="0"/>
          <w:sz w:val="24"/>
          <w:szCs w:val="24"/>
          <w:highlight w:val="none"/>
          <w:shd w:val="clear" w:color="auto" w:fill="FFFFFF"/>
        </w:rPr>
        <w:t>投标人应能够按照采购人要求及时签署合同，按照购销合同规定的品牌、产地、质量、价格、规格、有效期</w:t>
      </w:r>
      <w:r>
        <w:rPr>
          <w:rFonts w:hint="eastAsia" w:ascii="宋体" w:hAnsi="宋体" w:eastAsia="宋体" w:cs="宋体"/>
          <w:i w:val="0"/>
          <w:iCs w:val="0"/>
          <w:caps w:val="0"/>
          <w:color w:val="auto"/>
          <w:spacing w:val="0"/>
          <w:sz w:val="24"/>
          <w:szCs w:val="24"/>
          <w:highlight w:val="none"/>
          <w:shd w:val="clear" w:color="auto" w:fill="FFFFFF"/>
          <w:lang w:val="en-US" w:eastAsia="zh-CN"/>
        </w:rPr>
        <w:t>等</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4.2.</w:t>
      </w:r>
      <w:r>
        <w:rPr>
          <w:rFonts w:hint="eastAsia" w:ascii="宋体" w:hAnsi="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投标人应在采购文件书中按采购公告的规定和要求附上所有的资格证明文件，要求提供复印件的必须加盖单位印章，并在必要时提供原件备查。</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5.报价要求：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left="0" w:right="0" w:firstLine="42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5.1以人民币报价；报价请按照“</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”（格式见附件</w:t>
      </w:r>
      <w:r>
        <w:rPr>
          <w:rFonts w:hint="eastAsia" w:ascii="宋体" w:hAnsi="宋体" w:eastAsia="宋体" w:cs="宋体"/>
          <w:i w:val="0"/>
          <w:iCs w:val="0"/>
          <w:caps w:val="0"/>
          <w:color w:val="auto"/>
          <w:spacing w:val="0"/>
          <w:sz w:val="24"/>
          <w:szCs w:val="24"/>
          <w:highlight w:val="none"/>
          <w:shd w:val="clear" w:color="auto" w:fill="FFFFFF"/>
          <w:lang w:val="en-US" w:eastAsia="zh-CN"/>
        </w:rPr>
        <w:t>2</w:t>
      </w:r>
      <w:r>
        <w:rPr>
          <w:rFonts w:hint="eastAsia" w:ascii="宋体" w:hAnsi="宋体" w:cs="宋体"/>
          <w:i w:val="0"/>
          <w:iCs w:val="0"/>
          <w:caps w:val="0"/>
          <w:color w:val="auto"/>
          <w:spacing w:val="0"/>
          <w:sz w:val="24"/>
          <w:szCs w:val="24"/>
          <w:highlight w:val="none"/>
          <w:shd w:val="clear" w:color="auto" w:fill="FFFFFF"/>
          <w:lang w:val="en-US" w:eastAsia="zh-CN"/>
        </w:rPr>
        <w:t>-1</w:t>
      </w:r>
      <w:r>
        <w:rPr>
          <w:rFonts w:hint="eastAsia" w:ascii="宋体" w:hAnsi="宋体" w:eastAsia="宋体" w:cs="宋体"/>
          <w:i w:val="0"/>
          <w:iCs w:val="0"/>
          <w:caps w:val="0"/>
          <w:color w:val="auto"/>
          <w:spacing w:val="0"/>
          <w:sz w:val="24"/>
          <w:szCs w:val="24"/>
          <w:highlight w:val="none"/>
          <w:shd w:val="clear" w:color="auto" w:fill="FFFFFF"/>
        </w:rPr>
        <w:t xml:space="preserve">）的格式填写;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left="0" w:right="0" w:firstLine="42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5.2报价表中的价格应包括劳务、培训、保险、税等各项费用，即参会供应商对采购方的实际供应价。</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5.3报价原则：原则上所有投标品种报价不得高于四川省内其他地市中标价格或医疗机构近两年的历史采购最低价。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6.付款方式：按照合同约定</w:t>
      </w:r>
      <w:r>
        <w:rPr>
          <w:rFonts w:hint="eastAsia" w:ascii="宋体" w:hAnsi="宋体" w:eastAsia="宋体" w:cs="宋体"/>
          <w:i w:val="0"/>
          <w:iCs w:val="0"/>
          <w:caps w:val="0"/>
          <w:color w:val="auto"/>
          <w:spacing w:val="0"/>
          <w:sz w:val="24"/>
          <w:szCs w:val="24"/>
          <w:highlight w:val="none"/>
          <w:shd w:val="clear" w:color="auto" w:fill="FFFFFF"/>
          <w:lang w:val="en-US" w:eastAsia="zh-CN"/>
        </w:rPr>
        <w:t>进度</w:t>
      </w:r>
      <w:r>
        <w:rPr>
          <w:rFonts w:hint="eastAsia" w:ascii="宋体" w:hAnsi="宋体" w:eastAsia="宋体" w:cs="宋体"/>
          <w:i w:val="0"/>
          <w:iCs w:val="0"/>
          <w:caps w:val="0"/>
          <w:color w:val="auto"/>
          <w:spacing w:val="0"/>
          <w:sz w:val="24"/>
          <w:szCs w:val="24"/>
          <w:highlight w:val="none"/>
          <w:shd w:val="clear" w:color="auto" w:fill="FFFFFF"/>
        </w:rPr>
        <w:t>付款</w:t>
      </w:r>
      <w:r>
        <w:rPr>
          <w:rFonts w:hint="eastAsia" w:ascii="宋体" w:hAnsi="宋体" w:eastAsia="宋体" w:cs="宋体"/>
          <w:i w:val="0"/>
          <w:iCs w:val="0"/>
          <w:caps w:val="0"/>
          <w:color w:val="auto"/>
          <w:spacing w:val="0"/>
          <w:sz w:val="24"/>
          <w:szCs w:val="24"/>
          <w:highlight w:val="none"/>
          <w:shd w:val="clear" w:color="auto"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拟参会供应商需于</w:t>
      </w:r>
      <w:r>
        <w:rPr>
          <w:rFonts w:hint="eastAsia" w:ascii="宋体" w:hAnsi="宋体" w:cs="宋体"/>
          <w:i w:val="0"/>
          <w:iCs w:val="0"/>
          <w:caps w:val="0"/>
          <w:color w:val="auto"/>
          <w:spacing w:val="0"/>
          <w:sz w:val="24"/>
          <w:szCs w:val="24"/>
          <w:highlight w:val="none"/>
          <w:shd w:val="clear" w:color="auto" w:fill="FFFFFF"/>
          <w:lang w:eastAsia="zh-CN"/>
        </w:rPr>
        <w:t>2024年1月9日（星期二）上午9:00</w:t>
      </w:r>
      <w:r>
        <w:rPr>
          <w:rFonts w:hint="eastAsia" w:ascii="宋体" w:hAnsi="宋体" w:eastAsia="宋体" w:cs="宋体"/>
          <w:i w:val="0"/>
          <w:iCs w:val="0"/>
          <w:caps w:val="0"/>
          <w:color w:val="auto"/>
          <w:spacing w:val="0"/>
          <w:sz w:val="24"/>
          <w:szCs w:val="24"/>
          <w:highlight w:val="none"/>
          <w:shd w:val="clear" w:color="auto" w:fill="FFFFFF"/>
        </w:rPr>
        <w:t>前提供</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4.2.1-4.2.</w:t>
      </w:r>
      <w:r>
        <w:rPr>
          <w:rFonts w:hint="eastAsia" w:ascii="宋体" w:hAnsi="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条要求的资质证明文件，进行资格审查。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8.会议安排：</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 xml:space="preserve"> 8.1　</w:t>
      </w:r>
      <w:r>
        <w:rPr>
          <w:rFonts w:hint="eastAsia" w:ascii="宋体" w:hAnsi="宋体" w:cs="宋体"/>
          <w:i w:val="0"/>
          <w:iCs w:val="0"/>
          <w:caps w:val="0"/>
          <w:color w:val="auto"/>
          <w:spacing w:val="0"/>
          <w:sz w:val="24"/>
          <w:szCs w:val="24"/>
          <w:highlight w:val="none"/>
          <w:shd w:val="clear" w:color="auto" w:fill="FFFFFF"/>
          <w:lang w:eastAsia="zh-CN"/>
        </w:rPr>
        <w:t>2024年1月9日（星期二）上午9:00</w:t>
      </w:r>
      <w:r>
        <w:rPr>
          <w:rFonts w:hint="eastAsia" w:ascii="宋体" w:hAnsi="宋体" w:eastAsia="宋体" w:cs="宋体"/>
          <w:i w:val="0"/>
          <w:iCs w:val="0"/>
          <w:caps w:val="0"/>
          <w:color w:val="auto"/>
          <w:spacing w:val="0"/>
          <w:sz w:val="24"/>
          <w:szCs w:val="24"/>
          <w:highlight w:val="none"/>
          <w:shd w:val="clear" w:color="auto" w:fill="FFFFFF"/>
        </w:rPr>
        <w:t>以前，投标人必须携带</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采购资质文件</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一式一份，密封盖章</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”（一式一份</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密封盖章</w:t>
      </w:r>
      <w:r>
        <w:rPr>
          <w:rFonts w:hint="eastAsia" w:ascii="宋体" w:hAnsi="宋体" w:eastAsia="宋体" w:cs="宋体"/>
          <w:i w:val="0"/>
          <w:iCs w:val="0"/>
          <w:caps w:val="0"/>
          <w:color w:val="auto"/>
          <w:spacing w:val="0"/>
          <w:sz w:val="24"/>
          <w:szCs w:val="24"/>
          <w:highlight w:val="none"/>
          <w:shd w:val="clear" w:color="auto" w:fill="FFFFFF"/>
        </w:rPr>
        <w:t>）、《采购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份，正本1份,副本</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份，并分别在右上角标明“正本”和“副本”字样）密封盖章（按采购公告中产品分包密封）</w:t>
      </w:r>
      <w:r>
        <w:rPr>
          <w:rFonts w:hint="eastAsia" w:ascii="宋体" w:hAnsi="宋体" w:eastAsia="宋体" w:cs="宋体"/>
          <w:i w:val="0"/>
          <w:iCs w:val="0"/>
          <w:caps w:val="0"/>
          <w:color w:val="auto"/>
          <w:spacing w:val="0"/>
          <w:sz w:val="24"/>
          <w:szCs w:val="24"/>
          <w:highlight w:val="none"/>
          <w:shd w:val="clear" w:color="auto" w:fill="FFFFFF"/>
          <w:lang w:val="en-US" w:eastAsia="zh-CN"/>
        </w:rPr>
        <w:t>至综合楼五楼小会议室</w:t>
      </w:r>
      <w:r>
        <w:rPr>
          <w:rFonts w:hint="eastAsia" w:ascii="宋体" w:hAnsi="宋体" w:eastAsia="宋体" w:cs="宋体"/>
          <w:i w:val="0"/>
          <w:iCs w:val="0"/>
          <w:caps w:val="0"/>
          <w:color w:val="auto"/>
          <w:spacing w:val="0"/>
          <w:sz w:val="24"/>
          <w:szCs w:val="24"/>
          <w:highlight w:val="none"/>
          <w:shd w:val="clear" w:color="auto" w:fill="FFFFFF"/>
        </w:rPr>
        <w:t>。采购文件必须在投标截止时间前送达采购公告要求地点。逾期送达或密封不符合采购公告规定和未报送“</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”的恕不接受。</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8.2</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负责组织评审专家审核投标人的资格，并填写《院内自行采购资格审查表》。</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8.3会前，</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组织成立</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小组，主持人宣布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步骤，强调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工作纪律，介绍总体目标、工作安排、分工、</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文件、确定成交供应商的方法和标准。</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 xml:space="preserve"> 8.4　</w:t>
      </w:r>
      <w:r>
        <w:rPr>
          <w:rFonts w:hint="eastAsia" w:ascii="宋体" w:hAnsi="宋体" w:cs="宋体"/>
          <w:i w:val="0"/>
          <w:iCs w:val="0"/>
          <w:caps w:val="0"/>
          <w:color w:val="auto"/>
          <w:spacing w:val="0"/>
          <w:sz w:val="24"/>
          <w:szCs w:val="24"/>
          <w:highlight w:val="none"/>
          <w:shd w:val="clear" w:color="auto" w:fill="FFFFFF"/>
          <w:lang w:eastAsia="zh-CN"/>
        </w:rPr>
        <w:t>2024年1月9日（星期二）上午9:00</w:t>
      </w:r>
      <w:r>
        <w:rPr>
          <w:rFonts w:hint="eastAsia" w:ascii="宋体" w:hAnsi="宋体" w:eastAsia="宋体" w:cs="宋体"/>
          <w:i w:val="0"/>
          <w:iCs w:val="0"/>
          <w:caps w:val="0"/>
          <w:color w:val="auto"/>
          <w:spacing w:val="0"/>
          <w:sz w:val="24"/>
          <w:szCs w:val="24"/>
          <w:highlight w:val="none"/>
          <w:shd w:val="clear" w:color="auto" w:fill="FFFFFF"/>
        </w:rPr>
        <w:t>，投标人进入会场，</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通报资格审查情况，宣布参加</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的投标</w:t>
      </w:r>
      <w:r>
        <w:rPr>
          <w:rFonts w:hint="eastAsia" w:ascii="宋体" w:hAnsi="宋体" w:eastAsia="宋体" w:cs="宋体"/>
          <w:i w:val="0"/>
          <w:iCs w:val="0"/>
          <w:caps w:val="0"/>
          <w:color w:val="auto"/>
          <w:spacing w:val="0"/>
          <w:sz w:val="24"/>
          <w:szCs w:val="24"/>
          <w:highlight w:val="none"/>
          <w:shd w:val="clear" w:color="auto" w:fill="FFFFFF"/>
          <w:lang w:val="en-US" w:eastAsia="zh-CN"/>
        </w:rPr>
        <w:t>商</w:t>
      </w:r>
      <w:r>
        <w:rPr>
          <w:rFonts w:hint="eastAsia" w:ascii="宋体" w:hAnsi="宋体" w:eastAsia="宋体" w:cs="宋体"/>
          <w:i w:val="0"/>
          <w:iCs w:val="0"/>
          <w:caps w:val="0"/>
          <w:color w:val="auto"/>
          <w:spacing w:val="0"/>
          <w:sz w:val="24"/>
          <w:szCs w:val="24"/>
          <w:highlight w:val="none"/>
          <w:shd w:val="clear" w:color="auto" w:fill="FFFFFF"/>
        </w:rPr>
        <w:t>名单；</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8.5</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汇总填写《采购评审报告》，逐级上报。</w:t>
      </w:r>
      <w:r>
        <w:rPr>
          <w:rFonts w:hint="eastAsia" w:ascii="宋体" w:hAnsi="宋体" w:eastAsia="宋体" w:cs="宋体"/>
          <w:i w:val="0"/>
          <w:iCs w:val="0"/>
          <w:caps w:val="0"/>
          <w:color w:val="auto"/>
          <w:spacing w:val="0"/>
          <w:sz w:val="24"/>
          <w:szCs w:val="24"/>
          <w:highlight w:val="none"/>
          <w:shd w:val="clear" w:color="auto" w:fill="FFFFFF"/>
          <w:lang w:val="en-US" w:eastAsia="zh-CN"/>
        </w:rPr>
        <w:t>7个工作日</w:t>
      </w:r>
      <w:r>
        <w:rPr>
          <w:rFonts w:hint="eastAsia" w:ascii="宋体" w:hAnsi="宋体" w:eastAsia="宋体" w:cs="宋体"/>
          <w:i w:val="0"/>
          <w:iCs w:val="0"/>
          <w:caps w:val="0"/>
          <w:color w:val="auto"/>
          <w:spacing w:val="0"/>
          <w:sz w:val="24"/>
          <w:szCs w:val="24"/>
          <w:highlight w:val="none"/>
          <w:shd w:val="clear" w:color="auto" w:fill="FFFFFF"/>
        </w:rPr>
        <w:t>内，将</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结果在医院</w:t>
      </w:r>
      <w:r>
        <w:rPr>
          <w:rFonts w:hint="eastAsia" w:ascii="宋体" w:hAnsi="宋体" w:eastAsia="宋体" w:cs="宋体"/>
          <w:i w:val="0"/>
          <w:iCs w:val="0"/>
          <w:caps w:val="0"/>
          <w:color w:val="auto"/>
          <w:spacing w:val="0"/>
          <w:sz w:val="24"/>
          <w:szCs w:val="24"/>
          <w:highlight w:val="none"/>
          <w:shd w:val="clear" w:color="auto" w:fill="FFFFFF"/>
          <w:lang w:eastAsia="zh-CN"/>
        </w:rPr>
        <w:t>官方</w:t>
      </w:r>
      <w:r>
        <w:rPr>
          <w:rFonts w:hint="eastAsia" w:ascii="宋体" w:hAnsi="宋体" w:eastAsia="宋体" w:cs="宋体"/>
          <w:i w:val="0"/>
          <w:iCs w:val="0"/>
          <w:caps w:val="0"/>
          <w:color w:val="auto"/>
          <w:spacing w:val="0"/>
          <w:sz w:val="24"/>
          <w:szCs w:val="24"/>
          <w:highlight w:val="none"/>
          <w:shd w:val="clear" w:color="auto" w:fill="FFFFFF"/>
        </w:rPr>
        <w:t>网站</w:t>
      </w:r>
      <w:r>
        <w:rPr>
          <w:rFonts w:hint="eastAsia" w:ascii="宋体" w:hAnsi="宋体" w:eastAsia="宋体" w:cs="宋体"/>
          <w:i w:val="0"/>
          <w:iCs w:val="0"/>
          <w:caps w:val="0"/>
          <w:color w:val="auto"/>
          <w:spacing w:val="0"/>
          <w:sz w:val="24"/>
          <w:szCs w:val="24"/>
          <w:highlight w:val="none"/>
          <w:shd w:val="clear" w:color="auto" w:fill="FFFFFF"/>
          <w:lang w:eastAsia="zh-CN"/>
        </w:rPr>
        <w:t>上</w:t>
      </w:r>
      <w:r>
        <w:rPr>
          <w:rFonts w:hint="eastAsia" w:ascii="宋体" w:hAnsi="宋体" w:eastAsia="宋体" w:cs="宋体"/>
          <w:i w:val="0"/>
          <w:iCs w:val="0"/>
          <w:caps w:val="0"/>
          <w:color w:val="auto"/>
          <w:spacing w:val="0"/>
          <w:sz w:val="24"/>
          <w:szCs w:val="24"/>
          <w:highlight w:val="none"/>
          <w:shd w:val="clear" w:color="auto" w:fill="FFFFFF"/>
        </w:rPr>
        <w:t>公示。</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9.其它说明：</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9.1采购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份)的编制、装订：根据要求及自身实际用A4纸编制，严格按照《采购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投标文件装订顺序</w:t>
      </w:r>
      <w:r>
        <w:rPr>
          <w:rFonts w:hint="eastAsia" w:ascii="宋体" w:hAnsi="宋体" w:eastAsia="宋体" w:cs="宋体"/>
          <w:i w:val="0"/>
          <w:iCs w:val="0"/>
          <w:caps w:val="0"/>
          <w:color w:val="auto"/>
          <w:spacing w:val="0"/>
          <w:sz w:val="24"/>
          <w:szCs w:val="24"/>
          <w:highlight w:val="none"/>
          <w:shd w:val="clear" w:color="auto" w:fill="FFFFFF"/>
        </w:rPr>
        <w:t>》（见附件</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）的要求进行装订。提供的所有资料须加盖鲜章，并按要求密封。</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9.2确定的成交投标人需在约定时间内完成此次采购项目交付。</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9.3</w:t>
      </w:r>
      <w:r>
        <w:rPr>
          <w:rFonts w:hint="eastAsia" w:ascii="宋体" w:hAnsi="宋体" w:eastAsia="宋体" w:cs="宋体"/>
          <w:sz w:val="24"/>
          <w:szCs w:val="24"/>
          <w:lang w:eastAsia="zh-CN"/>
        </w:rPr>
        <w:t>项目</w:t>
      </w:r>
      <w:r>
        <w:rPr>
          <w:rFonts w:hint="eastAsia" w:ascii="宋体" w:hAnsi="宋体" w:eastAsia="宋体" w:cs="宋体"/>
          <w:i w:val="0"/>
          <w:iCs w:val="0"/>
          <w:caps w:val="0"/>
          <w:color w:val="auto"/>
          <w:spacing w:val="0"/>
          <w:sz w:val="24"/>
          <w:szCs w:val="24"/>
          <w:highlight w:val="none"/>
          <w:shd w:val="clear" w:color="auto" w:fill="FFFFFF"/>
          <w:lang w:eastAsia="zh-CN"/>
        </w:rPr>
        <w:t>参数</w:t>
      </w:r>
      <w:r>
        <w:rPr>
          <w:rFonts w:hint="eastAsia" w:ascii="宋体" w:hAnsi="宋体" w:eastAsia="宋体" w:cs="宋体"/>
          <w:i w:val="0"/>
          <w:iCs w:val="0"/>
          <w:caps w:val="0"/>
          <w:color w:val="auto"/>
          <w:spacing w:val="0"/>
          <w:sz w:val="24"/>
          <w:szCs w:val="24"/>
          <w:highlight w:val="none"/>
          <w:shd w:val="clear" w:color="auto" w:fill="FFFFFF"/>
        </w:rPr>
        <w:t>、要求（见附件1）及报价表的解释权归</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，联系人：</w:t>
      </w:r>
      <w:r>
        <w:rPr>
          <w:rFonts w:hint="eastAsia" w:ascii="宋体" w:hAnsi="宋体" w:cs="宋体"/>
          <w:i w:val="0"/>
          <w:iCs w:val="0"/>
          <w:caps w:val="0"/>
          <w:color w:val="auto"/>
          <w:spacing w:val="0"/>
          <w:sz w:val="24"/>
          <w:szCs w:val="24"/>
          <w:highlight w:val="none"/>
          <w:shd w:val="clear" w:color="auto" w:fill="FFFFFF"/>
          <w:lang w:val="en-US" w:eastAsia="zh-CN"/>
        </w:rPr>
        <w:t>翟</w:t>
      </w:r>
      <w:r>
        <w:rPr>
          <w:rFonts w:hint="eastAsia" w:ascii="宋体" w:hAnsi="宋体" w:eastAsia="宋体" w:cs="宋体"/>
          <w:i w:val="0"/>
          <w:iCs w:val="0"/>
          <w:caps w:val="0"/>
          <w:color w:val="auto"/>
          <w:spacing w:val="0"/>
          <w:sz w:val="24"/>
          <w:szCs w:val="24"/>
          <w:highlight w:val="none"/>
          <w:shd w:val="clear" w:color="auto" w:fill="FFFFFF"/>
        </w:rPr>
        <w:t>老师028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65978</w:t>
      </w:r>
      <w:r>
        <w:rPr>
          <w:rFonts w:hint="eastAsia" w:ascii="宋体" w:hAnsi="宋体" w:eastAsia="宋体" w:cs="宋体"/>
          <w:i w:val="0"/>
          <w:iCs w:val="0"/>
          <w:caps w:val="0"/>
          <w:color w:val="auto"/>
          <w:spacing w:val="0"/>
          <w:sz w:val="24"/>
          <w:szCs w:val="24"/>
          <w:highlight w:val="none"/>
          <w:shd w:val="clear" w:color="auto" w:fill="FFFFFF"/>
          <w:lang w:val="en-US" w:eastAsia="zh-CN"/>
        </w:rPr>
        <w:t>223</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9.4</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采购事宜联系人：</w:t>
      </w:r>
      <w:r>
        <w:rPr>
          <w:rFonts w:hint="eastAsia" w:ascii="宋体" w:hAnsi="宋体" w:eastAsia="宋体" w:cs="宋体"/>
          <w:i w:val="0"/>
          <w:iCs w:val="0"/>
          <w:caps w:val="0"/>
          <w:color w:val="auto"/>
          <w:spacing w:val="0"/>
          <w:sz w:val="24"/>
          <w:szCs w:val="24"/>
          <w:highlight w:val="none"/>
          <w:shd w:val="clear" w:color="auto" w:fill="FFFFFF"/>
          <w:lang w:val="en-US" w:eastAsia="zh-CN"/>
        </w:rPr>
        <w:t>罗</w:t>
      </w:r>
      <w:r>
        <w:rPr>
          <w:rFonts w:hint="eastAsia" w:ascii="宋体" w:hAnsi="宋体" w:eastAsia="宋体" w:cs="宋体"/>
          <w:i w:val="0"/>
          <w:iCs w:val="0"/>
          <w:caps w:val="0"/>
          <w:color w:val="auto"/>
          <w:spacing w:val="0"/>
          <w:sz w:val="24"/>
          <w:szCs w:val="24"/>
          <w:highlight w:val="none"/>
          <w:shd w:val="clear" w:color="auto" w:fill="FFFFFF"/>
        </w:rPr>
        <w:t>老师028-659782</w:t>
      </w:r>
      <w:r>
        <w:rPr>
          <w:rFonts w:hint="eastAsia" w:ascii="宋体" w:hAnsi="宋体" w:eastAsia="宋体" w:cs="宋体"/>
          <w:i w:val="0"/>
          <w:iCs w:val="0"/>
          <w:caps w:val="0"/>
          <w:color w:val="auto"/>
          <w:spacing w:val="0"/>
          <w:sz w:val="24"/>
          <w:szCs w:val="24"/>
          <w:highlight w:val="none"/>
          <w:shd w:val="clear" w:color="auto" w:fill="FFFFFF"/>
          <w:lang w:val="en-US" w:eastAsia="zh-CN"/>
        </w:rPr>
        <w:t>38</w:t>
      </w:r>
      <w:r>
        <w:rPr>
          <w:rFonts w:hint="eastAsia" w:ascii="宋体" w:hAnsi="宋体" w:eastAsia="宋体" w:cs="宋体"/>
          <w:i w:val="0"/>
          <w:iCs w:val="0"/>
          <w:caps w:val="0"/>
          <w:color w:val="auto"/>
          <w:spacing w:val="0"/>
          <w:sz w:val="24"/>
          <w:szCs w:val="24"/>
          <w:highlight w:val="none"/>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240" w:firstLineChars="1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10.</w:t>
      </w:r>
      <w:r>
        <w:rPr>
          <w:rFonts w:hint="eastAsia" w:ascii="宋体" w:hAnsi="宋体" w:eastAsia="宋体" w:cs="宋体"/>
          <w:i w:val="0"/>
          <w:iCs w:val="0"/>
          <w:caps w:val="0"/>
          <w:color w:val="auto"/>
          <w:spacing w:val="0"/>
          <w:sz w:val="24"/>
          <w:szCs w:val="24"/>
          <w:highlight w:val="none"/>
          <w:shd w:val="clear" w:color="auto" w:fill="FFFFFF"/>
          <w:lang w:val="en-US" w:eastAsia="zh-CN"/>
        </w:rPr>
        <w:t>参会供应商法人或授权代表</w:t>
      </w:r>
      <w:r>
        <w:rPr>
          <w:rFonts w:hint="eastAsia" w:ascii="宋体" w:hAnsi="宋体" w:eastAsia="宋体" w:cs="宋体"/>
          <w:i w:val="0"/>
          <w:iCs w:val="0"/>
          <w:caps w:val="0"/>
          <w:color w:val="auto"/>
          <w:spacing w:val="0"/>
          <w:sz w:val="24"/>
          <w:szCs w:val="24"/>
          <w:highlight w:val="none"/>
          <w:shd w:val="clear" w:color="auto" w:fill="FFFFFF"/>
        </w:rPr>
        <w:t>需携带身份证</w:t>
      </w:r>
      <w:r>
        <w:rPr>
          <w:rFonts w:hint="eastAsia" w:ascii="宋体" w:hAnsi="宋体" w:eastAsia="宋体" w:cs="宋体"/>
          <w:i w:val="0"/>
          <w:iCs w:val="0"/>
          <w:caps w:val="0"/>
          <w:color w:val="auto"/>
          <w:spacing w:val="0"/>
          <w:sz w:val="24"/>
          <w:szCs w:val="24"/>
          <w:highlight w:val="none"/>
          <w:shd w:val="clear" w:color="auto" w:fill="FFFFFF"/>
          <w:lang w:val="en-US" w:eastAsia="zh-CN"/>
        </w:rPr>
        <w:t>原件</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rPr>
        <w:br w:type="textWrapping"/>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附件：</w:t>
      </w:r>
    </w:p>
    <w:p>
      <w:pPr>
        <w:keepNext w:val="0"/>
        <w:keepLines w:val="0"/>
        <w:pageBreakBefore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采购需求</w:t>
      </w:r>
    </w:p>
    <w:p>
      <w:pPr>
        <w:keepNext w:val="0"/>
        <w:keepLines w:val="0"/>
        <w:pageBreakBefore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主要表格</w:t>
      </w:r>
      <w:r>
        <w:rPr>
          <w:rFonts w:hint="eastAsia" w:ascii="宋体" w:hAnsi="宋体" w:eastAsia="宋体" w:cs="宋体"/>
          <w:color w:val="auto"/>
          <w:sz w:val="24"/>
          <w:szCs w:val="24"/>
          <w:highlight w:val="none"/>
          <w:lang w:val="en-US" w:eastAsia="zh-CN"/>
        </w:rPr>
        <w:t>格式</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采购投标文件装订顺序</w:t>
      </w:r>
    </w:p>
    <w:p>
      <w:pPr>
        <w:keepNext w:val="0"/>
        <w:keepLines w:val="0"/>
        <w:pageBreakBefore w:val="0"/>
        <w:widowControl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反商业贿赂承诺书</w:t>
      </w:r>
    </w:p>
    <w:p>
      <w:pPr>
        <w:pStyle w:val="4"/>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5：纪律承诺书</w:t>
      </w:r>
    </w:p>
    <w:p>
      <w:pPr>
        <w:pStyle w:val="5"/>
        <w:pageBreakBefore w:val="0"/>
        <w:kinsoku/>
        <w:overflowPunct/>
        <w:topLinePunct w:val="0"/>
        <w:bidi w:val="0"/>
        <w:spacing w:line="360" w:lineRule="auto"/>
        <w:rPr>
          <w:rFonts w:hint="eastAsia" w:ascii="宋体" w:hAnsi="宋体" w:eastAsia="宋体" w:cs="宋体"/>
          <w:color w:val="auto"/>
          <w:sz w:val="24"/>
          <w:szCs w:val="24"/>
          <w:highlight w:val="none"/>
          <w:lang w:val="en-US" w:eastAsia="zh-CN"/>
        </w:rPr>
      </w:pPr>
    </w:p>
    <w:p>
      <w:pPr>
        <w:pStyle w:val="5"/>
        <w:pageBreakBefore w:val="0"/>
        <w:kinsoku/>
        <w:overflowPunct/>
        <w:topLinePunct w:val="0"/>
        <w:bidi w:val="0"/>
        <w:spacing w:line="360" w:lineRule="auto"/>
        <w:rPr>
          <w:rFonts w:hint="eastAsia" w:ascii="宋体" w:hAnsi="宋体" w:eastAsia="宋体" w:cs="宋体"/>
          <w:color w:val="auto"/>
          <w:sz w:val="24"/>
          <w:szCs w:val="24"/>
          <w:highlight w:val="none"/>
          <w:lang w:val="en-US" w:eastAsia="zh-CN"/>
        </w:rPr>
      </w:pPr>
    </w:p>
    <w:p>
      <w:pPr>
        <w:pStyle w:val="5"/>
        <w:pageBreakBefore w:val="0"/>
        <w:kinsoku/>
        <w:overflowPunct/>
        <w:topLinePunct w:val="0"/>
        <w:bidi w:val="0"/>
        <w:spacing w:line="360" w:lineRule="auto"/>
        <w:rPr>
          <w:rFonts w:hint="eastAsia" w:ascii="宋体" w:hAnsi="宋体" w:eastAsia="宋体" w:cs="宋体"/>
          <w:color w:val="auto"/>
          <w:sz w:val="24"/>
          <w:szCs w:val="24"/>
          <w:highlight w:val="none"/>
          <w:lang w:val="en-US" w:eastAsia="zh-CN"/>
        </w:rPr>
      </w:pPr>
    </w:p>
    <w:p>
      <w:pPr>
        <w:pStyle w:val="5"/>
        <w:pageBreakBefore w:val="0"/>
        <w:kinsoku/>
        <w:overflowPunct/>
        <w:topLinePunct w:val="0"/>
        <w:bidi w:val="0"/>
        <w:spacing w:line="360" w:lineRule="auto"/>
        <w:rPr>
          <w:rFonts w:hint="eastAsia" w:ascii="宋体" w:hAnsi="宋体" w:eastAsia="宋体" w:cs="宋体"/>
          <w:color w:val="auto"/>
          <w:sz w:val="24"/>
          <w:szCs w:val="24"/>
          <w:highlight w:val="none"/>
          <w:lang w:val="en-US" w:eastAsia="zh-CN"/>
        </w:rPr>
      </w:pPr>
    </w:p>
    <w:p>
      <w:pPr>
        <w:pStyle w:val="5"/>
        <w:pageBreakBefore w:val="0"/>
        <w:kinsoku/>
        <w:overflowPunct/>
        <w:topLinePunct w:val="0"/>
        <w:bidi w:val="0"/>
        <w:spacing w:line="360" w:lineRule="auto"/>
        <w:rPr>
          <w:rFonts w:hint="eastAsia" w:ascii="宋体" w:hAnsi="宋体" w:eastAsia="宋体" w:cs="宋体"/>
          <w:color w:val="auto"/>
          <w:sz w:val="24"/>
          <w:szCs w:val="24"/>
          <w:highlight w:val="none"/>
          <w:lang w:val="en-US" w:eastAsia="zh-CN"/>
        </w:rPr>
      </w:pPr>
    </w:p>
    <w:p>
      <w:pPr>
        <w:pStyle w:val="5"/>
        <w:pageBreakBefore w:val="0"/>
        <w:kinsoku/>
        <w:overflowPunct/>
        <w:topLinePunct w:val="0"/>
        <w:bidi w:val="0"/>
        <w:spacing w:line="360" w:lineRule="auto"/>
        <w:rPr>
          <w:rFonts w:hint="eastAsia" w:ascii="宋体" w:hAnsi="宋体" w:eastAsia="宋体" w:cs="宋体"/>
          <w:color w:val="auto"/>
          <w:sz w:val="24"/>
          <w:szCs w:val="24"/>
          <w:highlight w:val="none"/>
          <w:lang w:val="en-US" w:eastAsia="zh-CN"/>
        </w:rPr>
      </w:pPr>
    </w:p>
    <w:p>
      <w:pPr>
        <w:pStyle w:val="5"/>
        <w:pageBreakBefore w:val="0"/>
        <w:kinsoku/>
        <w:overflowPunct/>
        <w:topLinePunct w:val="0"/>
        <w:bidi w:val="0"/>
        <w:spacing w:line="360" w:lineRule="auto"/>
        <w:rPr>
          <w:rFonts w:hint="eastAsia" w:ascii="宋体" w:hAnsi="宋体" w:eastAsia="宋体" w:cs="宋体"/>
          <w:color w:val="auto"/>
          <w:sz w:val="24"/>
          <w:szCs w:val="24"/>
          <w:highlight w:val="none"/>
          <w:lang w:val="en-US" w:eastAsia="zh-CN"/>
        </w:rPr>
      </w:pPr>
    </w:p>
    <w:p>
      <w:pPr>
        <w:pStyle w:val="5"/>
        <w:pageBreakBefore w:val="0"/>
        <w:kinsoku/>
        <w:overflowPunct/>
        <w:topLinePunct w:val="0"/>
        <w:bidi w:val="0"/>
        <w:spacing w:line="360" w:lineRule="auto"/>
        <w:rPr>
          <w:rFonts w:hint="eastAsia" w:ascii="宋体" w:hAnsi="宋体" w:eastAsia="宋体" w:cs="宋体"/>
          <w:color w:val="auto"/>
          <w:sz w:val="24"/>
          <w:szCs w:val="24"/>
          <w:highlight w:val="none"/>
          <w:lang w:val="en-US" w:eastAsia="zh-CN"/>
        </w:rPr>
      </w:pPr>
    </w:p>
    <w:p>
      <w:pPr>
        <w:pStyle w:val="5"/>
        <w:pageBreakBefore w:val="0"/>
        <w:kinsoku/>
        <w:overflowPunct/>
        <w:topLinePunct w:val="0"/>
        <w:bidi w:val="0"/>
        <w:spacing w:line="360" w:lineRule="auto"/>
        <w:rPr>
          <w:rFonts w:hint="eastAsia" w:ascii="宋体" w:hAnsi="宋体" w:eastAsia="宋体" w:cs="宋体"/>
          <w:color w:val="auto"/>
          <w:sz w:val="24"/>
          <w:szCs w:val="24"/>
          <w:highlight w:val="none"/>
          <w:lang w:val="en-US" w:eastAsia="zh-CN"/>
        </w:rPr>
      </w:pPr>
    </w:p>
    <w:p>
      <w:pPr>
        <w:pStyle w:val="5"/>
        <w:pageBreakBefore w:val="0"/>
        <w:kinsoku/>
        <w:overflowPunct/>
        <w:topLinePunct w:val="0"/>
        <w:bidi w:val="0"/>
        <w:spacing w:line="360" w:lineRule="auto"/>
        <w:rPr>
          <w:rFonts w:hint="eastAsia" w:ascii="宋体" w:hAnsi="宋体" w:eastAsia="宋体" w:cs="宋体"/>
          <w:color w:val="auto"/>
          <w:sz w:val="24"/>
          <w:szCs w:val="24"/>
          <w:highlight w:val="none"/>
          <w:lang w:val="en-US" w:eastAsia="zh-CN"/>
        </w:rPr>
      </w:pPr>
    </w:p>
    <w:p>
      <w:pPr>
        <w:pStyle w:val="5"/>
        <w:pageBreakBefore w:val="0"/>
        <w:kinsoku/>
        <w:overflowPunct/>
        <w:topLinePunct w:val="0"/>
        <w:bidi w:val="0"/>
        <w:spacing w:line="360" w:lineRule="auto"/>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附件1</w:t>
      </w:r>
      <w:r>
        <w:rPr>
          <w:rFonts w:hint="eastAsia" w:ascii="宋体" w:hAnsi="宋体" w:eastAsia="宋体" w:cs="宋体"/>
          <w:b/>
          <w:bCs/>
          <w:i w:val="0"/>
          <w:caps w:val="0"/>
          <w:color w:val="auto"/>
          <w:spacing w:val="0"/>
          <w:w w:val="100"/>
          <w:sz w:val="24"/>
          <w:szCs w:val="24"/>
          <w:highlight w:val="none"/>
          <w:lang w:val="en-US" w:eastAsia="zh-CN"/>
        </w:rPr>
        <w:t xml:space="preserve"> 采购需求</w:t>
      </w:r>
    </w:p>
    <w:p>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b/>
          <w:color w:val="000000"/>
          <w:sz w:val="24"/>
          <w:szCs w:val="24"/>
        </w:rPr>
        <w:t>一、项目概况</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1.项目名称</w:t>
      </w:r>
      <w:r>
        <w:rPr>
          <w:rFonts w:hint="eastAsia" w:ascii="宋体" w:hAnsi="宋体" w:eastAsia="宋体" w:cs="宋体"/>
          <w:color w:val="000000"/>
          <w:kern w:val="0"/>
          <w:sz w:val="24"/>
          <w:szCs w:val="24"/>
          <w:lang w:val="en-US" w:eastAsia="zh-CN" w:bidi="ar"/>
        </w:rPr>
        <w:t>：抚琴院区废气处理改造</w:t>
      </w:r>
      <w:r>
        <w:rPr>
          <w:rFonts w:hint="eastAsia" w:ascii="宋体" w:hAnsi="宋体" w:cs="宋体"/>
          <w:color w:val="000000"/>
          <w:kern w:val="0"/>
          <w:sz w:val="24"/>
          <w:szCs w:val="24"/>
          <w:lang w:val="en-US" w:eastAsia="zh-CN" w:bidi="ar"/>
        </w:rPr>
        <w:t>（第二次）采购项目</w:t>
      </w:r>
      <w:bookmarkStart w:id="0" w:name="_GoBack"/>
      <w:bookmarkEnd w:id="0"/>
    </w:p>
    <w:p>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项目位置：成都市</w:t>
      </w:r>
      <w:r>
        <w:rPr>
          <w:rFonts w:hint="eastAsia" w:ascii="宋体" w:hAnsi="宋体" w:eastAsia="宋体" w:cs="宋体"/>
          <w:color w:val="000000"/>
          <w:sz w:val="24"/>
          <w:szCs w:val="24"/>
          <w:lang w:eastAsia="zh-CN"/>
        </w:rPr>
        <w:t>抚琴西路</w:t>
      </w:r>
      <w:r>
        <w:rPr>
          <w:rFonts w:hint="eastAsia" w:ascii="宋体" w:hAnsi="宋体" w:eastAsia="宋体" w:cs="宋体"/>
          <w:color w:val="000000"/>
          <w:sz w:val="24"/>
          <w:szCs w:val="24"/>
          <w:lang w:val="en-US" w:eastAsia="zh-CN"/>
        </w:rPr>
        <w:t>338号</w:t>
      </w:r>
    </w:p>
    <w:p>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二、</w:t>
      </w:r>
      <w:r>
        <w:rPr>
          <w:rFonts w:hint="eastAsia" w:ascii="宋体" w:hAnsi="宋体" w:eastAsia="宋体" w:cs="宋体"/>
          <w:b/>
          <w:color w:val="000000"/>
          <w:sz w:val="24"/>
          <w:szCs w:val="24"/>
        </w:rPr>
        <w:t>参会供应商的</w:t>
      </w:r>
      <w:r>
        <w:rPr>
          <w:rFonts w:hint="eastAsia" w:ascii="宋体" w:hAnsi="宋体" w:eastAsia="宋体" w:cs="宋体"/>
          <w:b/>
          <w:color w:val="000000"/>
          <w:sz w:val="24"/>
          <w:szCs w:val="24"/>
          <w:lang w:val="en-US" w:eastAsia="zh-CN"/>
        </w:rPr>
        <w:t>资格</w:t>
      </w:r>
      <w:r>
        <w:rPr>
          <w:rFonts w:hint="eastAsia" w:ascii="宋体" w:hAnsi="宋体" w:eastAsia="宋体" w:cs="宋体"/>
          <w:b/>
          <w:color w:val="000000"/>
          <w:sz w:val="24"/>
          <w:szCs w:val="24"/>
        </w:rPr>
        <w:t>要求</w:t>
      </w:r>
    </w:p>
    <w:p>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详见正文</w:t>
      </w:r>
    </w:p>
    <w:p>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三、</w:t>
      </w:r>
      <w:r>
        <w:rPr>
          <w:rFonts w:hint="eastAsia" w:ascii="宋体" w:hAnsi="宋体" w:eastAsia="宋体" w:cs="宋体"/>
          <w:b/>
          <w:color w:val="000000"/>
          <w:sz w:val="24"/>
          <w:szCs w:val="24"/>
        </w:rPr>
        <w:t>改造</w:t>
      </w:r>
      <w:r>
        <w:rPr>
          <w:rFonts w:hint="eastAsia" w:ascii="宋体" w:hAnsi="宋体" w:eastAsia="宋体" w:cs="宋体"/>
          <w:b/>
          <w:color w:val="000000"/>
          <w:sz w:val="24"/>
          <w:szCs w:val="24"/>
          <w:lang w:val="en-US" w:eastAsia="zh-CN"/>
        </w:rPr>
        <w:t>区域基本</w:t>
      </w:r>
      <w:r>
        <w:rPr>
          <w:rFonts w:hint="eastAsia" w:ascii="宋体" w:hAnsi="宋体" w:eastAsia="宋体" w:cs="宋体"/>
          <w:b/>
          <w:color w:val="000000"/>
          <w:sz w:val="24"/>
          <w:szCs w:val="24"/>
        </w:rPr>
        <w:t>要求</w:t>
      </w:r>
      <w:r>
        <w:rPr>
          <w:rFonts w:hint="eastAsia" w:ascii="微软雅黑" w:hAnsi="微软雅黑" w:eastAsia="微软雅黑" w:cs="微软雅黑"/>
          <w:b/>
          <w:color w:val="000000"/>
          <w:sz w:val="24"/>
          <w:szCs w:val="24"/>
        </w:rPr>
        <w:t>★</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将抚琴院区原实验室楼顶安装的废气设备拆除转移安装至动物饲养室使用，用于处理动物饲养室臭气。另外新增一套7000m³/h风量（水喷淋+过滤棉+两级活性炭吸附）的废气装置，用于处理3楼普通实验室、细胞实验室及1楼生物样本库的安全柜的臭气。</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工程量清单（包含但不限于）：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2666"/>
        <w:gridCol w:w="834"/>
        <w:gridCol w:w="1013"/>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2"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序号</w:t>
            </w:r>
          </w:p>
        </w:tc>
        <w:tc>
          <w:tcPr>
            <w:tcW w:w="2666"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名称</w:t>
            </w:r>
          </w:p>
        </w:tc>
        <w:tc>
          <w:tcPr>
            <w:tcW w:w="834"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单位</w:t>
            </w:r>
          </w:p>
        </w:tc>
        <w:tc>
          <w:tcPr>
            <w:tcW w:w="1013"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数量</w:t>
            </w:r>
          </w:p>
        </w:tc>
        <w:tc>
          <w:tcPr>
            <w:tcW w:w="3267"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1</w:t>
            </w:r>
          </w:p>
        </w:tc>
        <w:tc>
          <w:tcPr>
            <w:tcW w:w="2666"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喷淋塔</w:t>
            </w:r>
          </w:p>
        </w:tc>
        <w:tc>
          <w:tcPr>
            <w:tcW w:w="834"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台</w:t>
            </w:r>
          </w:p>
        </w:tc>
        <w:tc>
          <w:tcPr>
            <w:tcW w:w="1013"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1</w:t>
            </w:r>
          </w:p>
        </w:tc>
        <w:tc>
          <w:tcPr>
            <w:tcW w:w="3267"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7000m³/h风量</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eastAsia="zh-CN"/>
              </w:rPr>
              <w:t>2层喷淋、</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eastAsia="zh-CN"/>
              </w:rPr>
              <w:t>2层填料、</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eastAsia="zh-CN"/>
              </w:rPr>
              <w:t>1层除雾、水泵</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eastAsia="zh-CN"/>
              </w:rPr>
              <w:t>1.5KW。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2</w:t>
            </w:r>
          </w:p>
        </w:tc>
        <w:tc>
          <w:tcPr>
            <w:tcW w:w="2666"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一级活性炭箱</w:t>
            </w:r>
          </w:p>
        </w:tc>
        <w:tc>
          <w:tcPr>
            <w:tcW w:w="834"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台</w:t>
            </w:r>
          </w:p>
        </w:tc>
        <w:tc>
          <w:tcPr>
            <w:tcW w:w="1013"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1</w:t>
            </w:r>
          </w:p>
        </w:tc>
        <w:tc>
          <w:tcPr>
            <w:tcW w:w="3267"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含蜂窝活性炭及活性炭框，活性炭碘值≥800，孔径≥4mm填充量≥0.24方。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3</w:t>
            </w:r>
          </w:p>
        </w:tc>
        <w:tc>
          <w:tcPr>
            <w:tcW w:w="2666"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二级活性炭箱</w:t>
            </w:r>
          </w:p>
        </w:tc>
        <w:tc>
          <w:tcPr>
            <w:tcW w:w="834"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台</w:t>
            </w:r>
          </w:p>
        </w:tc>
        <w:tc>
          <w:tcPr>
            <w:tcW w:w="1013"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1</w:t>
            </w:r>
          </w:p>
        </w:tc>
        <w:tc>
          <w:tcPr>
            <w:tcW w:w="3267"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含蜂窝活性炭及活性炭框，活性炭碘值≥800，孔径≥4mm填充量≥0.24方。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4</w:t>
            </w:r>
          </w:p>
        </w:tc>
        <w:tc>
          <w:tcPr>
            <w:tcW w:w="2666"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风机</w:t>
            </w:r>
          </w:p>
        </w:tc>
        <w:tc>
          <w:tcPr>
            <w:tcW w:w="834"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台</w:t>
            </w:r>
          </w:p>
        </w:tc>
        <w:tc>
          <w:tcPr>
            <w:tcW w:w="1013"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1</w:t>
            </w:r>
          </w:p>
        </w:tc>
        <w:tc>
          <w:tcPr>
            <w:tcW w:w="3267"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功率≥5.5kw，处理风量≥</w:t>
            </w:r>
            <w:r>
              <w:rPr>
                <w:rFonts w:hint="eastAsia" w:ascii="宋体" w:hAnsi="宋体" w:eastAsia="宋体" w:cs="宋体"/>
                <w:color w:val="000000"/>
                <w:sz w:val="24"/>
                <w:szCs w:val="24"/>
              </w:rPr>
              <w:t>7000m³/h</w:t>
            </w:r>
            <w:r>
              <w:rPr>
                <w:rFonts w:hint="eastAsia" w:ascii="宋体" w:hAnsi="宋体" w:eastAsia="宋体" w:cs="宋体"/>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5</w:t>
            </w:r>
          </w:p>
        </w:tc>
        <w:tc>
          <w:tcPr>
            <w:tcW w:w="2666"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电控系统</w:t>
            </w:r>
          </w:p>
        </w:tc>
        <w:tc>
          <w:tcPr>
            <w:tcW w:w="834"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套</w:t>
            </w:r>
          </w:p>
        </w:tc>
        <w:tc>
          <w:tcPr>
            <w:tcW w:w="1013"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1</w:t>
            </w:r>
          </w:p>
        </w:tc>
        <w:tc>
          <w:tcPr>
            <w:tcW w:w="3267"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配套控制废气装置，支持手自动操作。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6</w:t>
            </w:r>
          </w:p>
        </w:tc>
        <w:tc>
          <w:tcPr>
            <w:tcW w:w="2666"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辅料</w:t>
            </w:r>
          </w:p>
        </w:tc>
        <w:tc>
          <w:tcPr>
            <w:tcW w:w="834"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批</w:t>
            </w:r>
          </w:p>
        </w:tc>
        <w:tc>
          <w:tcPr>
            <w:tcW w:w="1013"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1</w:t>
            </w:r>
          </w:p>
        </w:tc>
        <w:tc>
          <w:tcPr>
            <w:tcW w:w="3267"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包含但不限于管道、法兰、弯头等，满足所有安装需求。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7</w:t>
            </w:r>
          </w:p>
        </w:tc>
        <w:tc>
          <w:tcPr>
            <w:tcW w:w="2666"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lang w:val="en-US" w:eastAsia="zh-CN"/>
              </w:rPr>
              <w:t>原</w:t>
            </w:r>
            <w:r>
              <w:rPr>
                <w:rFonts w:hint="eastAsia" w:ascii="宋体" w:hAnsi="宋体" w:eastAsia="宋体" w:cs="宋体"/>
                <w:color w:val="000000"/>
                <w:sz w:val="24"/>
                <w:szCs w:val="24"/>
              </w:rPr>
              <w:t>废气设备拆除转移安装</w:t>
            </w:r>
          </w:p>
        </w:tc>
        <w:tc>
          <w:tcPr>
            <w:tcW w:w="834"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项</w:t>
            </w:r>
          </w:p>
        </w:tc>
        <w:tc>
          <w:tcPr>
            <w:tcW w:w="1013"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vertAlign w:val="baseline"/>
                <w:lang w:val="en-US" w:eastAsia="zh-CN"/>
              </w:rPr>
              <w:t>1</w:t>
            </w:r>
          </w:p>
        </w:tc>
        <w:tc>
          <w:tcPr>
            <w:tcW w:w="3267"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含拆除、转移安装、吊装、土建开孔等。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8</w:t>
            </w:r>
          </w:p>
        </w:tc>
        <w:tc>
          <w:tcPr>
            <w:tcW w:w="2666"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废气检测报告</w:t>
            </w:r>
          </w:p>
        </w:tc>
        <w:tc>
          <w:tcPr>
            <w:tcW w:w="834"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份</w:t>
            </w:r>
          </w:p>
        </w:tc>
        <w:tc>
          <w:tcPr>
            <w:tcW w:w="1013"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1</w:t>
            </w:r>
          </w:p>
        </w:tc>
        <w:tc>
          <w:tcPr>
            <w:tcW w:w="3267"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en-US"/>
              </w:rPr>
              <w:t>委托具备CMA资质</w:t>
            </w:r>
            <w:r>
              <w:rPr>
                <w:rFonts w:hint="eastAsia" w:ascii="宋体" w:hAnsi="宋体" w:eastAsia="宋体" w:cs="宋体"/>
                <w:color w:val="000000"/>
                <w:sz w:val="24"/>
                <w:szCs w:val="24"/>
                <w:lang w:val="en-US" w:eastAsia="zh-CN"/>
              </w:rPr>
              <w:t>的</w:t>
            </w:r>
            <w:r>
              <w:rPr>
                <w:rFonts w:hint="eastAsia" w:ascii="宋体" w:hAnsi="宋体" w:eastAsia="宋体" w:cs="宋体"/>
                <w:color w:val="000000"/>
                <w:sz w:val="24"/>
                <w:szCs w:val="24"/>
                <w:lang w:val="en-US" w:eastAsia="en-US"/>
              </w:rPr>
              <w:t>检测公司</w:t>
            </w:r>
            <w:r>
              <w:rPr>
                <w:rFonts w:hint="eastAsia" w:ascii="宋体" w:hAnsi="宋体" w:eastAsia="宋体" w:cs="宋体"/>
                <w:color w:val="000000"/>
                <w:sz w:val="24"/>
                <w:szCs w:val="24"/>
                <w:lang w:val="en-US" w:eastAsia="zh-CN"/>
              </w:rPr>
              <w:t>进行废气</w:t>
            </w:r>
            <w:r>
              <w:rPr>
                <w:rFonts w:hint="eastAsia" w:ascii="宋体" w:hAnsi="宋体" w:eastAsia="宋体" w:cs="宋体"/>
                <w:color w:val="000000"/>
                <w:sz w:val="24"/>
                <w:szCs w:val="24"/>
                <w:lang w:val="en-US" w:eastAsia="en-US"/>
              </w:rPr>
              <w:t>检测并出具合格的检测报告</w:t>
            </w:r>
            <w:r>
              <w:rPr>
                <w:rFonts w:hint="eastAsia" w:ascii="宋体" w:hAnsi="宋体" w:eastAsia="宋体" w:cs="宋体"/>
                <w:color w:val="000000"/>
                <w:sz w:val="24"/>
                <w:szCs w:val="24"/>
                <w:lang w:val="en-US" w:eastAsia="zh-CN"/>
              </w:rPr>
              <w:t>。</w:t>
            </w:r>
          </w:p>
        </w:tc>
      </w:tr>
    </w:tbl>
    <w:p>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b/>
          <w:color w:val="000000"/>
          <w:sz w:val="24"/>
          <w:szCs w:val="24"/>
          <w:lang w:val="en-US" w:eastAsia="zh-CN"/>
        </w:rPr>
        <w:t>四</w:t>
      </w:r>
      <w:r>
        <w:rPr>
          <w:rFonts w:hint="eastAsia" w:ascii="宋体" w:hAnsi="宋体" w:eastAsia="宋体" w:cs="宋体"/>
          <w:b/>
          <w:color w:val="000000"/>
          <w:sz w:val="24"/>
          <w:szCs w:val="24"/>
        </w:rPr>
        <w:t>、计划施工工期</w:t>
      </w:r>
      <w:r>
        <w:rPr>
          <w:rFonts w:hint="eastAsia" w:ascii="宋体" w:hAnsi="宋体" w:eastAsia="宋体" w:cs="宋体"/>
          <w:b/>
          <w:color w:val="000000"/>
          <w:sz w:val="24"/>
          <w:szCs w:val="24"/>
          <w:lang w:val="en-US" w:eastAsia="zh-CN"/>
        </w:rPr>
        <w:t>与质保期</w:t>
      </w:r>
    </w:p>
    <w:p>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firstLine="485"/>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本项目施工工期为合同</w:t>
      </w:r>
      <w:r>
        <w:rPr>
          <w:rFonts w:hint="eastAsia" w:ascii="宋体" w:hAnsi="宋体" w:eastAsia="宋体" w:cs="宋体"/>
          <w:color w:val="000000"/>
          <w:sz w:val="24"/>
          <w:szCs w:val="24"/>
          <w:lang w:val="en-US" w:eastAsia="zh-CN"/>
        </w:rPr>
        <w:t>签订</w:t>
      </w:r>
      <w:r>
        <w:rPr>
          <w:rFonts w:hint="eastAsia" w:ascii="宋体" w:hAnsi="宋体" w:eastAsia="宋体" w:cs="宋体"/>
          <w:color w:val="000000"/>
          <w:sz w:val="24"/>
          <w:szCs w:val="24"/>
        </w:rPr>
        <w:t>后</w:t>
      </w: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个日历天</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质保期2年。</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textAlignment w:val="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五、项目最高限价</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本项目采用包干价，最高限价9.5万元。</w:t>
      </w:r>
      <w:r>
        <w:rPr>
          <w:rFonts w:hint="eastAsia" w:ascii="宋体" w:hAnsi="宋体" w:eastAsia="宋体" w:cs="宋体"/>
          <w:color w:val="000000"/>
          <w:sz w:val="24"/>
          <w:szCs w:val="24"/>
          <w:lang w:val="en-US" w:eastAsia="zh-CN"/>
        </w:rPr>
        <w:t>请潜在供应商充分考虑零星性，施工完成后须</w:t>
      </w:r>
      <w:r>
        <w:rPr>
          <w:rFonts w:hint="eastAsia" w:ascii="宋体" w:hAnsi="宋体" w:eastAsia="宋体" w:cs="宋体"/>
          <w:color w:val="000000"/>
          <w:sz w:val="24"/>
          <w:szCs w:val="24"/>
          <w:lang w:val="en-US" w:eastAsia="en-US"/>
        </w:rPr>
        <w:t>委托具备CMA资质</w:t>
      </w:r>
      <w:r>
        <w:rPr>
          <w:rFonts w:hint="eastAsia" w:ascii="宋体" w:hAnsi="宋体" w:eastAsia="宋体" w:cs="宋体"/>
          <w:color w:val="000000"/>
          <w:sz w:val="24"/>
          <w:szCs w:val="24"/>
          <w:lang w:val="en-US" w:eastAsia="zh-CN"/>
        </w:rPr>
        <w:t>的</w:t>
      </w:r>
      <w:r>
        <w:rPr>
          <w:rFonts w:hint="eastAsia" w:ascii="宋体" w:hAnsi="宋体" w:eastAsia="宋体" w:cs="宋体"/>
          <w:color w:val="000000"/>
          <w:sz w:val="24"/>
          <w:szCs w:val="24"/>
          <w:lang w:val="en-US" w:eastAsia="en-US"/>
        </w:rPr>
        <w:t>检测公司</w:t>
      </w:r>
      <w:r>
        <w:rPr>
          <w:rFonts w:hint="eastAsia" w:ascii="宋体" w:hAnsi="宋体" w:eastAsia="宋体" w:cs="宋体"/>
          <w:color w:val="000000"/>
          <w:sz w:val="24"/>
          <w:szCs w:val="24"/>
          <w:lang w:val="en-US" w:eastAsia="zh-CN"/>
        </w:rPr>
        <w:t>进行废气</w:t>
      </w:r>
      <w:r>
        <w:rPr>
          <w:rFonts w:hint="eastAsia" w:ascii="宋体" w:hAnsi="宋体" w:eastAsia="宋体" w:cs="宋体"/>
          <w:color w:val="000000"/>
          <w:sz w:val="24"/>
          <w:szCs w:val="24"/>
          <w:lang w:val="en-US" w:eastAsia="en-US"/>
        </w:rPr>
        <w:t>检测并出具合格的检测报告</w:t>
      </w:r>
      <w:r>
        <w:rPr>
          <w:rFonts w:hint="eastAsia" w:ascii="宋体" w:hAnsi="宋体" w:eastAsia="宋体" w:cs="宋体"/>
          <w:color w:val="000000"/>
          <w:sz w:val="24"/>
          <w:szCs w:val="24"/>
          <w:lang w:val="en-US" w:eastAsia="zh-CN"/>
        </w:rPr>
        <w:t>，同时配合环评验收通过。</w:t>
      </w:r>
    </w:p>
    <w:p>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b/>
          <w:color w:val="000000"/>
          <w:sz w:val="24"/>
          <w:szCs w:val="24"/>
          <w:lang w:val="en-US" w:eastAsia="zh-CN"/>
        </w:rPr>
        <w:t>六</w:t>
      </w:r>
      <w:r>
        <w:rPr>
          <w:rFonts w:hint="eastAsia" w:ascii="宋体" w:hAnsi="宋体" w:eastAsia="宋体" w:cs="宋体"/>
          <w:b/>
          <w:color w:val="000000"/>
          <w:sz w:val="24"/>
          <w:szCs w:val="24"/>
        </w:rPr>
        <w:t>、其他事项</w:t>
      </w:r>
    </w:p>
    <w:p>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firstLine="485"/>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1.联系地址：成都市武侯区沙堰西二街290号</w:t>
      </w:r>
    </w:p>
    <w:p>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ind w:firstLine="485"/>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联系</w:t>
      </w:r>
      <w:r>
        <w:rPr>
          <w:rFonts w:hint="eastAsia" w:ascii="宋体" w:hAnsi="宋体" w:eastAsia="宋体" w:cs="宋体"/>
          <w:color w:val="000000"/>
          <w:sz w:val="24"/>
          <w:szCs w:val="24"/>
          <w:lang w:val="en-US" w:eastAsia="zh-CN"/>
        </w:rPr>
        <w:t>人及</w:t>
      </w:r>
      <w:r>
        <w:rPr>
          <w:rFonts w:hint="eastAsia" w:ascii="宋体" w:hAnsi="宋体" w:eastAsia="宋体" w:cs="宋体"/>
          <w:color w:val="000000"/>
          <w:sz w:val="24"/>
          <w:szCs w:val="24"/>
        </w:rPr>
        <w:t>电话：</w:t>
      </w:r>
      <w:r>
        <w:rPr>
          <w:rFonts w:hint="eastAsia" w:ascii="宋体" w:hAnsi="宋体" w:eastAsia="宋体" w:cs="宋体"/>
          <w:sz w:val="24"/>
          <w:szCs w:val="24"/>
          <w:lang w:val="en-US" w:eastAsia="zh-CN"/>
        </w:rPr>
        <w:t>罗</w:t>
      </w:r>
      <w:r>
        <w:rPr>
          <w:rFonts w:hint="eastAsia" w:ascii="宋体" w:hAnsi="宋体" w:eastAsia="宋体" w:cs="宋体"/>
          <w:sz w:val="24"/>
          <w:szCs w:val="24"/>
        </w:rPr>
        <w:t>老师</w:t>
      </w:r>
      <w:r>
        <w:rPr>
          <w:rFonts w:hint="eastAsia" w:ascii="宋体" w:hAnsi="宋体" w:eastAsia="宋体" w:cs="宋体"/>
          <w:sz w:val="24"/>
          <w:szCs w:val="24"/>
          <w:lang w:val="en-US" w:eastAsia="zh-CN"/>
        </w:rPr>
        <w:t>028-</w:t>
      </w:r>
      <w:r>
        <w:rPr>
          <w:rFonts w:hint="eastAsia" w:ascii="宋体" w:hAnsi="宋体" w:eastAsia="宋体" w:cs="宋体"/>
          <w:color w:val="000000"/>
          <w:sz w:val="24"/>
          <w:szCs w:val="24"/>
        </w:rPr>
        <w:t>659782</w:t>
      </w:r>
      <w:r>
        <w:rPr>
          <w:rFonts w:hint="eastAsia" w:ascii="宋体" w:hAnsi="宋体" w:eastAsia="宋体" w:cs="宋体"/>
          <w:color w:val="000000"/>
          <w:sz w:val="24"/>
          <w:szCs w:val="24"/>
          <w:lang w:val="en-US" w:eastAsia="zh-CN"/>
        </w:rPr>
        <w:t>38</w:t>
      </w:r>
    </w:p>
    <w:p>
      <w:pPr>
        <w:pStyle w:val="9"/>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七、评分标准</w:t>
      </w:r>
    </w:p>
    <w:tbl>
      <w:tblPr>
        <w:tblStyle w:val="10"/>
        <w:tblpPr w:leftFromText="180" w:rightFromText="180" w:vertAnchor="text" w:horzAnchor="page" w:tblpX="1890" w:tblpY="733"/>
        <w:tblOverlap w:val="never"/>
        <w:tblW w:w="8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007"/>
        <w:gridCol w:w="5131"/>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240"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评分因素</w:t>
            </w:r>
          </w:p>
        </w:tc>
        <w:tc>
          <w:tcPr>
            <w:tcW w:w="6138" w:type="dxa"/>
            <w:gridSpan w:val="2"/>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评分标准</w:t>
            </w:r>
          </w:p>
        </w:tc>
        <w:tc>
          <w:tcPr>
            <w:tcW w:w="950"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240"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报价</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（30分）</w:t>
            </w:r>
          </w:p>
        </w:tc>
        <w:tc>
          <w:tcPr>
            <w:tcW w:w="6138" w:type="dxa"/>
            <w:gridSpan w:val="2"/>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满足磋商文件要求且最后报价最低的供应商的价格为磋商基准价，其价格分为满分，其他磋商报价得分=（磋商基准价/最后磋商报价）×权值</w:t>
            </w:r>
          </w:p>
        </w:tc>
        <w:tc>
          <w:tcPr>
            <w:tcW w:w="950"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240" w:type="dxa"/>
            <w:vMerge w:val="restart"/>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施工组织设计</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（48分）</w:t>
            </w:r>
          </w:p>
        </w:tc>
        <w:tc>
          <w:tcPr>
            <w:tcW w:w="1007"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施工方案与技术措施（8分）</w:t>
            </w:r>
          </w:p>
        </w:tc>
        <w:tc>
          <w:tcPr>
            <w:tcW w:w="5131"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对投标人针对本项目的施工方案与技术措施在项目管理、施工质量保证等方面进行评审：方案齐全、合理的得1-8分，未提供不得分。</w:t>
            </w:r>
          </w:p>
        </w:tc>
        <w:tc>
          <w:tcPr>
            <w:tcW w:w="950" w:type="dxa"/>
            <w:vMerge w:val="restart"/>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240" w:type="dxa"/>
            <w:vMerge w:val="continue"/>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left="485" w:leftChars="0" w:right="0" w:rightChars="0"/>
              <w:jc w:val="center"/>
              <w:textAlignment w:val="auto"/>
              <w:rPr>
                <w:rFonts w:hint="eastAsia" w:ascii="宋体" w:hAnsi="宋体" w:eastAsia="宋体" w:cs="宋体"/>
                <w:color w:val="000000"/>
                <w:sz w:val="24"/>
                <w:szCs w:val="24"/>
                <w:lang w:val="en-US" w:eastAsia="zh-CN"/>
              </w:rPr>
            </w:pPr>
          </w:p>
        </w:tc>
        <w:tc>
          <w:tcPr>
            <w:tcW w:w="1007"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质量管理体系与措施（8分）</w:t>
            </w:r>
          </w:p>
        </w:tc>
        <w:tc>
          <w:tcPr>
            <w:tcW w:w="5131"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对投标人针对本项目的质量管理体系与措施在完整性、科学性以及针对性等方面进行评审：方案齐全、合理的得1-8分，未提供不得分，未提供不得分。</w:t>
            </w:r>
          </w:p>
        </w:tc>
        <w:tc>
          <w:tcPr>
            <w:tcW w:w="950" w:type="dxa"/>
            <w:vMerge w:val="continue"/>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left="485" w:leftChars="0" w:right="0" w:rightChars="0"/>
              <w:jc w:val="both"/>
              <w:textAlignment w:val="auto"/>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40" w:type="dxa"/>
            <w:vMerge w:val="continue"/>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left="485" w:leftChars="0" w:right="0" w:rightChars="0"/>
              <w:jc w:val="center"/>
              <w:textAlignment w:val="auto"/>
              <w:rPr>
                <w:rFonts w:hint="eastAsia" w:ascii="宋体" w:hAnsi="宋体" w:eastAsia="宋体" w:cs="宋体"/>
                <w:color w:val="000000"/>
                <w:sz w:val="24"/>
                <w:szCs w:val="24"/>
                <w:lang w:val="en-US" w:eastAsia="zh-CN"/>
              </w:rPr>
            </w:pPr>
          </w:p>
        </w:tc>
        <w:tc>
          <w:tcPr>
            <w:tcW w:w="1007"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安全管理体系与措施（8分）</w:t>
            </w:r>
          </w:p>
        </w:tc>
        <w:tc>
          <w:tcPr>
            <w:tcW w:w="5131"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对投标人针对本项目的安全管理体系与措施在全面性、完整性、针对性以及安全教育培训、安全防护等方面进行评审：方案齐全、合理的得1-8分，未提供不得分，</w:t>
            </w:r>
          </w:p>
        </w:tc>
        <w:tc>
          <w:tcPr>
            <w:tcW w:w="950" w:type="dxa"/>
            <w:vMerge w:val="continue"/>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left="485" w:leftChars="0" w:right="0" w:rightChars="0"/>
              <w:jc w:val="both"/>
              <w:textAlignment w:val="auto"/>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0" w:type="dxa"/>
            <w:vMerge w:val="continue"/>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left="485" w:leftChars="0" w:right="0" w:rightChars="0"/>
              <w:jc w:val="center"/>
              <w:textAlignment w:val="auto"/>
              <w:rPr>
                <w:rFonts w:hint="eastAsia" w:ascii="宋体" w:hAnsi="宋体" w:eastAsia="宋体" w:cs="宋体"/>
                <w:color w:val="000000"/>
                <w:sz w:val="24"/>
                <w:szCs w:val="24"/>
                <w:lang w:val="en-US" w:eastAsia="zh-CN"/>
              </w:rPr>
            </w:pPr>
          </w:p>
        </w:tc>
        <w:tc>
          <w:tcPr>
            <w:tcW w:w="1007"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环境保护管理体系与措施（8分）</w:t>
            </w:r>
          </w:p>
        </w:tc>
        <w:tc>
          <w:tcPr>
            <w:tcW w:w="5131"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对投标人针对本项目的环境保护管理体系与措施在全面性、完整性、针对性以及污染物处理、污染物排放、技术管理手段等方面进行评审：方案齐全、合理的得1-8分，未提供不得分。</w:t>
            </w:r>
          </w:p>
        </w:tc>
        <w:tc>
          <w:tcPr>
            <w:tcW w:w="950" w:type="dxa"/>
            <w:vMerge w:val="continue"/>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left="485" w:leftChars="0" w:right="0" w:rightChars="0"/>
              <w:jc w:val="both"/>
              <w:textAlignment w:val="auto"/>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0" w:type="dxa"/>
            <w:vMerge w:val="continue"/>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left="485" w:leftChars="0" w:right="0" w:rightChars="0"/>
              <w:jc w:val="center"/>
              <w:textAlignment w:val="auto"/>
              <w:rPr>
                <w:rFonts w:hint="eastAsia" w:ascii="宋体" w:hAnsi="宋体" w:eastAsia="宋体" w:cs="宋体"/>
                <w:color w:val="000000"/>
                <w:sz w:val="24"/>
                <w:szCs w:val="24"/>
                <w:lang w:val="en-US" w:eastAsia="zh-CN"/>
              </w:rPr>
            </w:pPr>
          </w:p>
        </w:tc>
        <w:tc>
          <w:tcPr>
            <w:tcW w:w="1007"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工程进度计划与措施（8分）</w:t>
            </w:r>
          </w:p>
        </w:tc>
        <w:tc>
          <w:tcPr>
            <w:tcW w:w="5131"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对投标人针对本项目的工程进度计划与措施在高效性、合理性、科学性以及工期保障等方面进行评审：方案齐全、合理的得1-7分，未提供不得分。</w:t>
            </w:r>
          </w:p>
        </w:tc>
        <w:tc>
          <w:tcPr>
            <w:tcW w:w="950" w:type="dxa"/>
            <w:vMerge w:val="continue"/>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left="485" w:leftChars="0" w:right="0" w:rightChars="0"/>
              <w:jc w:val="both"/>
              <w:textAlignment w:val="auto"/>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240" w:type="dxa"/>
            <w:vMerge w:val="continue"/>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left="485" w:leftChars="0" w:right="0" w:rightChars="0"/>
              <w:jc w:val="center"/>
              <w:textAlignment w:val="auto"/>
              <w:rPr>
                <w:rFonts w:hint="eastAsia" w:ascii="宋体" w:hAnsi="宋体" w:eastAsia="宋体" w:cs="宋体"/>
                <w:color w:val="000000"/>
                <w:sz w:val="24"/>
                <w:szCs w:val="24"/>
                <w:lang w:val="en-US" w:eastAsia="zh-CN"/>
              </w:rPr>
            </w:pPr>
          </w:p>
        </w:tc>
        <w:tc>
          <w:tcPr>
            <w:tcW w:w="1007"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资源配备计划（8分）</w:t>
            </w:r>
          </w:p>
        </w:tc>
        <w:tc>
          <w:tcPr>
            <w:tcW w:w="5131"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对投标人针对本项目的资源配备计划在人员配备及相关设施设备投入的合理性、科学性以及对项目工程进度的保障性等方面进行评审：方案齐全、合理的得1-8分，未提供不得分。</w:t>
            </w:r>
          </w:p>
        </w:tc>
        <w:tc>
          <w:tcPr>
            <w:tcW w:w="950" w:type="dxa"/>
            <w:vMerge w:val="continue"/>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left="485" w:leftChars="0" w:right="0" w:rightChars="0"/>
              <w:jc w:val="both"/>
              <w:textAlignment w:val="auto"/>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240"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人员配置（12分）</w:t>
            </w:r>
          </w:p>
        </w:tc>
        <w:tc>
          <w:tcPr>
            <w:tcW w:w="6138" w:type="dxa"/>
            <w:gridSpan w:val="2"/>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供应商拟配备本项目人员：项目负责人具有高级环境保护工程师证书、安全负责人具有安全员证书、技术负责人具有一级机电工程建造师证书、现场操作人员至少有一名具有市政工程二级建造师证书的得12分，每少一项扣3分。</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（以上项目人员不得为同一人，需提供劳动合同或社保证明）</w:t>
            </w:r>
          </w:p>
        </w:tc>
        <w:tc>
          <w:tcPr>
            <w:tcW w:w="950"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240"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业绩</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（10分）</w:t>
            </w:r>
          </w:p>
        </w:tc>
        <w:tc>
          <w:tcPr>
            <w:tcW w:w="6138" w:type="dxa"/>
            <w:gridSpan w:val="2"/>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投标人2020年1月1日以来，每具有1个已完成类似项目业绩的得2分，最高得10分。注：同一项目不重复计分，提供中标/成交通知书或合同复印件及验收合格报告并加盖投标人公章，否则相应得分项不得分，时间以竣工验收报告为准。</w:t>
            </w:r>
          </w:p>
        </w:tc>
        <w:tc>
          <w:tcPr>
            <w:tcW w:w="950" w:type="dxa"/>
            <w:noWrap w:val="0"/>
            <w:vAlign w:val="center"/>
          </w:tcPr>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line="360" w:lineRule="auto"/>
              <w:ind w:right="0" w:right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共同评分因素</w:t>
            </w:r>
          </w:p>
        </w:tc>
      </w:tr>
    </w:tbl>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pStyle w:val="2"/>
        <w:rPr>
          <w:rFonts w:hint="eastAsia" w:ascii="宋体" w:hAnsi="宋体" w:eastAsia="宋体" w:cs="宋体"/>
          <w:b/>
          <w:bCs/>
          <w:i w:val="0"/>
          <w:caps w:val="0"/>
          <w:color w:val="auto"/>
          <w:spacing w:val="0"/>
          <w:w w:val="100"/>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w:t>
      </w:r>
      <w:r>
        <w:rPr>
          <w:rFonts w:hint="eastAsia" w:ascii="宋体" w:hAnsi="宋体" w:eastAsia="宋体" w:cs="宋体"/>
          <w:b/>
          <w:bCs/>
          <w:i w:val="0"/>
          <w:caps w:val="0"/>
          <w:color w:val="auto"/>
          <w:spacing w:val="0"/>
          <w:w w:val="100"/>
          <w:sz w:val="24"/>
          <w:szCs w:val="24"/>
          <w:highlight w:val="none"/>
          <w:lang w:val="en-US" w:eastAsia="zh-CN"/>
        </w:rPr>
        <w:t>2 主要表格</w:t>
      </w: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default" w:ascii="宋体" w:hAnsi="宋体" w:eastAsia="宋体" w:cs="宋体"/>
          <w:b/>
          <w:bCs/>
          <w:i w:val="0"/>
          <w:caps w:val="0"/>
          <w:color w:val="auto"/>
          <w:spacing w:val="0"/>
          <w:w w:val="100"/>
          <w:sz w:val="24"/>
          <w:szCs w:val="24"/>
          <w:highlight w:val="none"/>
          <w:lang w:val="en-US" w:eastAsia="zh-CN"/>
        </w:rPr>
      </w:pPr>
      <w:r>
        <w:rPr>
          <w:rFonts w:hint="eastAsia" w:ascii="宋体" w:hAnsi="宋体" w:cs="宋体"/>
          <w:b/>
          <w:bCs/>
          <w:i w:val="0"/>
          <w:caps w:val="0"/>
          <w:color w:val="auto"/>
          <w:spacing w:val="0"/>
          <w:w w:val="100"/>
          <w:sz w:val="24"/>
          <w:szCs w:val="24"/>
          <w:highlight w:val="none"/>
          <w:lang w:val="en-US" w:eastAsia="zh-CN"/>
        </w:rPr>
        <w:t>2-1</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报价一览表</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xml:space="preserve"> </w:t>
      </w:r>
    </w:p>
    <w:tbl>
      <w:tblPr>
        <w:tblStyle w:val="10"/>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3"/>
        <w:gridCol w:w="1918"/>
        <w:gridCol w:w="1418"/>
        <w:gridCol w:w="14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1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9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名称</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小计（元）</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合计</w:t>
            </w: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r>
    </w:tbl>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numPr>
          <w:ilvl w:val="0"/>
          <w:numId w:val="2"/>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报价应是最终用户验收合格后的总价，此报价含税，含运费，含安装费等各项费用</w:t>
      </w:r>
      <w:r>
        <w:rPr>
          <w:rFonts w:hint="eastAsia" w:ascii="宋体" w:hAnsi="宋体" w:eastAsia="宋体" w:cs="宋体"/>
          <w:color w:val="auto"/>
          <w:kern w:val="0"/>
          <w:sz w:val="24"/>
          <w:szCs w:val="24"/>
          <w:highlight w:val="none"/>
          <w:lang w:eastAsia="zh-CN"/>
        </w:rPr>
        <w:t>以及</w:t>
      </w:r>
      <w:r>
        <w:rPr>
          <w:rFonts w:hint="eastAsia" w:ascii="宋体" w:hAnsi="宋体" w:eastAsia="宋体" w:cs="宋体"/>
          <w:color w:val="auto"/>
          <w:kern w:val="0"/>
          <w:sz w:val="24"/>
          <w:szCs w:val="24"/>
          <w:highlight w:val="none"/>
        </w:rPr>
        <w:t>采购文件规定的其它费用。</w:t>
      </w:r>
    </w:p>
    <w:p>
      <w:pPr>
        <w:keepNext w:val="0"/>
        <w:keepLines w:val="0"/>
        <w:pageBreakBefore w:val="0"/>
        <w:widowControl/>
        <w:numPr>
          <w:ilvl w:val="0"/>
          <w:numId w:val="2"/>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“报价一览表”为多页的，每页均需由法定代表人或授权代表签字并盖投标人印章。</w:t>
      </w:r>
    </w:p>
    <w:p>
      <w:pPr>
        <w:keepNext w:val="0"/>
        <w:keepLines w:val="0"/>
        <w:pageBreakBefore w:val="0"/>
        <w:widowControl/>
        <w:numPr>
          <w:ilvl w:val="0"/>
          <w:numId w:val="2"/>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“报价一览表”需单独密封。</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color w:val="auto"/>
          <w:sz w:val="24"/>
          <w:szCs w:val="24"/>
          <w:highlight w:val="none"/>
          <w:lang w:val="zh-CN"/>
        </w:rPr>
      </w:pPr>
    </w:p>
    <w:p>
      <w:pPr>
        <w:pStyle w:val="4"/>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ageBreakBefore w:val="0"/>
        <w:kinsoku/>
        <w:overflowPunct/>
        <w:topLinePunct w:val="0"/>
        <w:bidi w:val="0"/>
        <w:spacing w:line="360" w:lineRule="auto"/>
        <w:rPr>
          <w:rFonts w:hint="eastAsia" w:ascii="宋体" w:hAnsi="宋体" w:eastAsia="宋体" w:cs="宋体"/>
          <w:b/>
          <w:bCs w:val="0"/>
          <w:color w:val="auto"/>
          <w:sz w:val="24"/>
          <w:szCs w:val="24"/>
          <w:highlight w:val="none"/>
          <w:lang w:val="zh-CN"/>
        </w:rPr>
      </w:pPr>
    </w:p>
    <w:p>
      <w:pPr>
        <w:pStyle w:val="7"/>
        <w:pageBreakBefore w:val="0"/>
        <w:kinsoku/>
        <w:overflowPunct/>
        <w:topLinePunct w:val="0"/>
        <w:bidi w:val="0"/>
        <w:spacing w:line="360" w:lineRule="auto"/>
        <w:rPr>
          <w:rFonts w:hint="eastAsia" w:ascii="宋体" w:hAnsi="宋体" w:eastAsia="宋体" w:cs="宋体"/>
          <w:b/>
          <w:bCs w:val="0"/>
          <w:color w:val="auto"/>
          <w:sz w:val="24"/>
          <w:szCs w:val="24"/>
          <w:highlight w:val="none"/>
          <w:lang w:val="zh-CN"/>
        </w:rPr>
      </w:pPr>
    </w:p>
    <w:p>
      <w:pPr>
        <w:pageBreakBefore w:val="0"/>
        <w:kinsoku/>
        <w:overflowPunct/>
        <w:topLinePunct w:val="0"/>
        <w:bidi w:val="0"/>
        <w:spacing w:line="360" w:lineRule="auto"/>
        <w:rPr>
          <w:rFonts w:hint="eastAsia" w:ascii="宋体" w:hAnsi="宋体" w:eastAsia="宋体" w:cs="宋体"/>
          <w:b/>
          <w:bCs w:val="0"/>
          <w:color w:val="auto"/>
          <w:sz w:val="24"/>
          <w:szCs w:val="24"/>
          <w:highlight w:val="none"/>
          <w:lang w:val="zh-CN"/>
        </w:rPr>
      </w:pPr>
    </w:p>
    <w:p>
      <w:pPr>
        <w:pStyle w:val="7"/>
        <w:pageBreakBefore w:val="0"/>
        <w:kinsoku/>
        <w:overflowPunct/>
        <w:topLinePunct w:val="0"/>
        <w:bidi w:val="0"/>
        <w:spacing w:line="360" w:lineRule="auto"/>
        <w:jc w:val="left"/>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2-2</w:t>
      </w: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numPr>
          <w:ilvl w:val="0"/>
          <w:numId w:val="3"/>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4"/>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left"/>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2-3</w:t>
      </w: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pPr>
        <w:pStyle w:val="4"/>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10.法律法规界定的其他围标串标行为。</w:t>
      </w:r>
    </w:p>
    <w:p>
      <w:pPr>
        <w:keepNext w:val="0"/>
        <w:keepLines w:val="0"/>
        <w:pageBreakBefore w:val="0"/>
        <w:numPr>
          <w:ilvl w:val="0"/>
          <w:numId w:val="0"/>
        </w:numPr>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4"/>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pPr>
        <w:pStyle w:val="4"/>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pPr>
        <w:pStyle w:val="4"/>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2-4</w:t>
      </w:r>
    </w:p>
    <w:p>
      <w:pPr>
        <w:pStyle w:val="9"/>
        <w:keepNext w:val="0"/>
        <w:keepLines w:val="0"/>
        <w:pageBreakBefore w:val="0"/>
        <w:widowControl/>
        <w:suppressLineNumbers w:val="0"/>
        <w:kinsoku/>
        <w:overflowPunct/>
        <w:topLinePunct w:val="0"/>
        <w:bidi w:val="0"/>
        <w:adjustRightInd/>
        <w:spacing w:line="360" w:lineRule="auto"/>
        <w:rPr>
          <w:rFonts w:hint="eastAsia" w:ascii="宋体" w:hAnsi="宋体" w:eastAsia="宋体" w:cs="宋体"/>
          <w:sz w:val="24"/>
          <w:szCs w:val="24"/>
        </w:rPr>
      </w:pPr>
      <w:r>
        <w:rPr>
          <w:rFonts w:hint="eastAsia" w:ascii="宋体" w:hAnsi="宋体" w:cs="宋体"/>
          <w:b/>
          <w:sz w:val="24"/>
          <w:szCs w:val="24"/>
          <w:lang w:val="en-US" w:eastAsia="zh-CN"/>
        </w:rPr>
        <w:t>商务、</w:t>
      </w:r>
      <w:r>
        <w:rPr>
          <w:rFonts w:hint="eastAsia" w:ascii="宋体" w:hAnsi="宋体" w:eastAsia="宋体" w:cs="宋体"/>
          <w:b/>
          <w:sz w:val="24"/>
          <w:szCs w:val="24"/>
        </w:rPr>
        <w:t>技术、服务响应/偏离表 </w:t>
      </w:r>
    </w:p>
    <w:p>
      <w:pPr>
        <w:pStyle w:val="9"/>
        <w:keepNext w:val="0"/>
        <w:keepLines w:val="0"/>
        <w:pageBreakBefore w:val="0"/>
        <w:widowControl/>
        <w:suppressLineNumbers w:val="0"/>
        <w:kinsoku/>
        <w:overflowPunct/>
        <w:topLinePunct w:val="0"/>
        <w:bidi w:val="0"/>
        <w:adjustRightInd/>
        <w:spacing w:after="120" w:afterAutospacing="0" w:line="360" w:lineRule="auto"/>
        <w:rPr>
          <w:rFonts w:hint="eastAsia" w:ascii="宋体" w:hAnsi="宋体" w:eastAsia="宋体" w:cs="宋体"/>
          <w:b/>
          <w:sz w:val="24"/>
          <w:szCs w:val="24"/>
          <w:u w:val="single"/>
        </w:rPr>
      </w:pPr>
      <w:r>
        <w:rPr>
          <w:rFonts w:hint="eastAsia" w:ascii="宋体" w:hAnsi="宋体" w:eastAsia="宋体" w:cs="宋体"/>
          <w:b/>
          <w:sz w:val="24"/>
          <w:szCs w:val="24"/>
        </w:rPr>
        <w:t>供应商名称：</w:t>
      </w:r>
      <w:r>
        <w:rPr>
          <w:rFonts w:hint="eastAsia" w:ascii="宋体" w:hAnsi="宋体" w:eastAsia="宋体" w:cs="宋体"/>
          <w:b/>
          <w:sz w:val="24"/>
          <w:szCs w:val="24"/>
          <w:u w:val="single"/>
        </w:rPr>
        <w:t>             </w:t>
      </w:r>
    </w:p>
    <w:p>
      <w:pPr>
        <w:pStyle w:val="9"/>
        <w:keepNext w:val="0"/>
        <w:keepLines w:val="0"/>
        <w:pageBreakBefore w:val="0"/>
        <w:widowControl/>
        <w:suppressLineNumbers w:val="0"/>
        <w:kinsoku/>
        <w:overflowPunct/>
        <w:topLinePunct w:val="0"/>
        <w:bidi w:val="0"/>
        <w:adjustRightInd/>
        <w:spacing w:after="120" w:afterAutospacing="0" w:line="360" w:lineRule="auto"/>
        <w:rPr>
          <w:rFonts w:hint="eastAsia" w:ascii="宋体" w:hAnsi="宋体" w:eastAsia="宋体" w:cs="宋体"/>
          <w:sz w:val="24"/>
          <w:szCs w:val="24"/>
        </w:rPr>
      </w:pPr>
      <w:r>
        <w:rPr>
          <w:rFonts w:hint="eastAsia" w:ascii="宋体" w:hAnsi="宋体" w:eastAsia="宋体" w:cs="宋体"/>
          <w:b/>
          <w:sz w:val="24"/>
          <w:szCs w:val="24"/>
        </w:rPr>
        <w:t>采购编号：</w:t>
      </w:r>
      <w:r>
        <w:rPr>
          <w:rFonts w:hint="eastAsia" w:ascii="宋体" w:hAnsi="宋体" w:eastAsia="宋体" w:cs="宋体"/>
          <w:b/>
          <w:sz w:val="24"/>
          <w:szCs w:val="24"/>
          <w:u w:val="single"/>
        </w:rPr>
        <w:t>             </w:t>
      </w:r>
      <w:r>
        <w:rPr>
          <w:rFonts w:hint="eastAsia" w:ascii="宋体" w:hAnsi="宋体" w:eastAsia="宋体" w:cs="宋体"/>
          <w:b/>
          <w:sz w:val="24"/>
          <w:szCs w:val="24"/>
        </w:rPr>
        <w:t> </w:t>
      </w:r>
    </w:p>
    <w:tbl>
      <w:tblPr>
        <w:tblStyle w:val="10"/>
        <w:tblW w:w="85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35"/>
        <w:gridCol w:w="1989"/>
        <w:gridCol w:w="1665"/>
        <w:gridCol w:w="2736"/>
        <w:gridCol w:w="14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645" w:hRule="atLeast"/>
        </w:trPr>
        <w:tc>
          <w:tcPr>
            <w:tcW w:w="7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kinsoku/>
              <w:overflowPunct/>
              <w:topLinePunct w:val="0"/>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9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kinsoku/>
              <w:overflowPunct/>
              <w:topLinePunct w:val="0"/>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rPr>
              <w:t>文件条目号</w:t>
            </w:r>
          </w:p>
        </w:tc>
        <w:tc>
          <w:tcPr>
            <w:tcW w:w="166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kinsoku/>
              <w:overflowPunct/>
              <w:topLinePunct w:val="0"/>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rPr>
              <w:t>文件要求</w:t>
            </w:r>
          </w:p>
        </w:tc>
        <w:tc>
          <w:tcPr>
            <w:tcW w:w="273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kinsoku/>
              <w:overflowPunct/>
              <w:topLinePunct w:val="0"/>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rPr>
              <w:t>响应文件响应说明</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9"/>
              <w:keepNext w:val="0"/>
              <w:keepLines w:val="0"/>
              <w:pageBreakBefore w:val="0"/>
              <w:widowControl/>
              <w:suppressLineNumbers w:val="0"/>
              <w:kinsoku/>
              <w:overflowPunct/>
              <w:topLinePunct w:val="0"/>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响应/偏离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9"/>
              <w:keepNext w:val="0"/>
              <w:keepLines w:val="0"/>
              <w:pageBreakBefore w:val="0"/>
              <w:widowControl/>
              <w:suppressLineNumbers w:val="0"/>
              <w:kinsoku/>
              <w:overflowPunct/>
              <w:topLinePunct w:val="0"/>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bl>
    <w:p>
      <w:pPr>
        <w:pStyle w:val="9"/>
        <w:keepNext w:val="0"/>
        <w:keepLines w:val="0"/>
        <w:pageBreakBefore w:val="0"/>
        <w:widowControl/>
        <w:suppressLineNumbers w:val="0"/>
        <w:kinsoku/>
        <w:overflowPunct/>
        <w:topLinePunct w:val="0"/>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供应商名称：         （盖章）</w:t>
      </w:r>
    </w:p>
    <w:p>
      <w:pPr>
        <w:pStyle w:val="9"/>
        <w:keepNext w:val="0"/>
        <w:keepLines w:val="0"/>
        <w:pageBreakBefore w:val="0"/>
        <w:widowControl/>
        <w:suppressLineNumbers w:val="0"/>
        <w:kinsoku/>
        <w:overflowPunct/>
        <w:topLinePunct w:val="0"/>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法定代表人/单位负责人或授权代表（签字或加盖个人名章）：</w:t>
      </w:r>
    </w:p>
    <w:p>
      <w:pPr>
        <w:pStyle w:val="9"/>
        <w:keepNext w:val="0"/>
        <w:keepLines w:val="0"/>
        <w:pageBreakBefore w:val="0"/>
        <w:widowControl/>
        <w:suppressLineNumbers w:val="0"/>
        <w:kinsoku/>
        <w:overflowPunct/>
        <w:topLinePunct w:val="0"/>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日期:</w:t>
      </w:r>
    </w:p>
    <w:p>
      <w:pPr>
        <w:pStyle w:val="9"/>
        <w:keepNext w:val="0"/>
        <w:keepLines w:val="0"/>
        <w:pageBreakBefore w:val="0"/>
        <w:widowControl/>
        <w:suppressLineNumbers w:val="0"/>
        <w:kinsoku/>
        <w:overflowPunct/>
        <w:topLinePunct w:val="0"/>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注：</w:t>
      </w:r>
    </w:p>
    <w:p>
      <w:pPr>
        <w:pStyle w:val="9"/>
        <w:keepNext w:val="0"/>
        <w:keepLines w:val="0"/>
        <w:pageBreakBefore w:val="0"/>
        <w:widowControl/>
        <w:suppressLineNumbers w:val="0"/>
        <w:kinsoku/>
        <w:overflowPunct/>
        <w:topLinePunct w:val="0"/>
        <w:bidi w:val="0"/>
        <w:adjustRightInd/>
        <w:spacing w:line="360" w:lineRule="auto"/>
        <w:ind w:left="0" w:firstLine="480"/>
        <w:rPr>
          <w:rFonts w:hint="default" w:ascii="宋体" w:hAnsi="宋体" w:eastAsia="宋体" w:cs="宋体"/>
          <w:sz w:val="24"/>
          <w:szCs w:val="24"/>
          <w:lang w:val="en-US" w:eastAsia="zh-CN"/>
        </w:rPr>
      </w:pPr>
      <w:r>
        <w:rPr>
          <w:rFonts w:hint="eastAsia" w:ascii="宋体" w:hAnsi="宋体" w:eastAsia="宋体" w:cs="宋体"/>
          <w:sz w:val="24"/>
          <w:szCs w:val="24"/>
        </w:rPr>
        <w:t>供应商必须据实填写，不得虚假应答，否则将取消其报价或成交资格。如与磋商文件所列</w:t>
      </w:r>
      <w:r>
        <w:rPr>
          <w:rFonts w:hint="eastAsia" w:ascii="微软雅黑" w:hAnsi="微软雅黑" w:eastAsia="微软雅黑" w:cs="微软雅黑"/>
          <w:sz w:val="24"/>
          <w:szCs w:val="24"/>
        </w:rPr>
        <w:t>★</w:t>
      </w:r>
      <w:r>
        <w:rPr>
          <w:rFonts w:hint="eastAsia" w:ascii="宋体" w:hAnsi="宋体" w:eastAsia="宋体" w:cs="宋体"/>
          <w:sz w:val="24"/>
          <w:szCs w:val="24"/>
        </w:rPr>
        <w:t>技术相关条款如有偏离条款，请将偏离条款逐条应答。未明确偏离的条款，视为默认接受，供应商不得籍未作应答而拒不接受。</w:t>
      </w:r>
      <w:r>
        <w:rPr>
          <w:rFonts w:hint="eastAsia" w:ascii="宋体" w:hAnsi="宋体" w:cs="宋体"/>
          <w:sz w:val="24"/>
          <w:szCs w:val="24"/>
          <w:lang w:val="en-US" w:eastAsia="zh-CN"/>
        </w:rPr>
        <w:t>如无偏离，请填写无偏离或正偏离。</w:t>
      </w:r>
    </w:p>
    <w:p>
      <w:pPr>
        <w:pStyle w:val="9"/>
        <w:keepNext w:val="0"/>
        <w:keepLines w:val="0"/>
        <w:pageBreakBefore w:val="0"/>
        <w:widowControl/>
        <w:suppressLineNumbers w:val="0"/>
        <w:kinsoku/>
        <w:overflowPunct/>
        <w:topLinePunct w:val="0"/>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若磋商文件中有要求提供证明材料的技术条款应当在此表中列出并应答。</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2-5</w:t>
      </w:r>
    </w:p>
    <w:p>
      <w:pPr>
        <w:pStyle w:val="2"/>
        <w:pageBreakBefore w:val="0"/>
        <w:kinsoku/>
        <w:overflowPunct/>
        <w:topLinePunct w:val="0"/>
        <w:bidi w:val="0"/>
        <w:spacing w:line="360" w:lineRule="auto"/>
        <w:ind w:left="0" w:leftChars="0" w:firstLine="0" w:firstLineChars="0"/>
        <w:rPr>
          <w:rFonts w:hint="eastAsia" w:ascii="宋体" w:hAnsi="宋体" w:eastAsia="宋体" w:cs="宋体"/>
          <w:b/>
          <w:bCs/>
          <w:color w:val="auto"/>
          <w:sz w:val="24"/>
          <w:szCs w:val="24"/>
          <w:highlight w:val="none"/>
        </w:rPr>
      </w:pPr>
    </w:p>
    <w:p>
      <w:pPr>
        <w:pStyle w:val="14"/>
        <w:pageBreakBefore w:val="0"/>
        <w:kinsoku/>
        <w:overflowPunct/>
        <w:topLinePunct w:val="0"/>
        <w:bidi w:val="0"/>
        <w:snapToGrid w:val="0"/>
        <w:spacing w:beforeLines="100" w:afterLines="100" w:line="360" w:lineRule="auto"/>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rPr>
        <w:t>良好的商业信誉和健全的财务会计制度</w:t>
      </w:r>
      <w:r>
        <w:rPr>
          <w:rFonts w:hint="eastAsia" w:ascii="宋体" w:hAnsi="宋体" w:eastAsia="宋体" w:cs="宋体"/>
          <w:i w:val="0"/>
          <w:iCs w:val="0"/>
          <w:caps w:val="0"/>
          <w:color w:val="auto"/>
          <w:spacing w:val="0"/>
          <w:sz w:val="24"/>
          <w:szCs w:val="24"/>
          <w:highlight w:val="none"/>
          <w:shd w:val="clear" w:color="auto" w:fill="FFFFFF"/>
          <w:lang w:val="en-US" w:eastAsia="zh-CN"/>
        </w:rPr>
        <w:t>的承诺函</w:t>
      </w:r>
    </w:p>
    <w:p>
      <w:pPr>
        <w:pageBreakBefore w:val="0"/>
        <w:kinsoku/>
        <w:overflowPunct/>
        <w:topLinePunct w:val="0"/>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pageBreakBefore w:val="0"/>
        <w:kinsoku/>
        <w:overflowPunct/>
        <w:topLinePunct w:val="0"/>
        <w:bidi w:val="0"/>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i w:val="0"/>
          <w:iCs w:val="0"/>
          <w:caps w:val="0"/>
          <w:color w:val="auto"/>
          <w:spacing w:val="0"/>
          <w:sz w:val="24"/>
          <w:szCs w:val="24"/>
          <w:highlight w:val="none"/>
          <w:shd w:val="clear" w:color="auto" w:fill="FFFFFF"/>
        </w:rPr>
        <w:t>具有良好的商业信誉和健全的财务会计制度，投标人提供承诺函</w:t>
      </w:r>
      <w:r>
        <w:rPr>
          <w:rFonts w:hint="eastAsia" w:ascii="宋体" w:hAnsi="宋体" w:eastAsia="宋体" w:cs="宋体"/>
          <w:color w:val="auto"/>
          <w:sz w:val="24"/>
          <w:szCs w:val="24"/>
          <w:highlight w:val="none"/>
        </w:rPr>
        <w:t>。</w:t>
      </w:r>
    </w:p>
    <w:p>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2-6</w:t>
      </w:r>
    </w:p>
    <w:p>
      <w:pPr>
        <w:pStyle w:val="1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履行合同所必需的设备和专业技术能力的承诺函</w:t>
      </w:r>
    </w:p>
    <w:p>
      <w:pPr>
        <w:pageBreakBefore w:val="0"/>
        <w:kinsoku/>
        <w:overflowPunct/>
        <w:topLinePunct w:val="0"/>
        <w:bidi w:val="0"/>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pageBreakBefore w:val="0"/>
        <w:kinsoku/>
        <w:overflowPunct/>
        <w:topLinePunct w:val="0"/>
        <w:bidi w:val="0"/>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i w:val="0"/>
          <w:iCs w:val="0"/>
          <w:caps w:val="0"/>
          <w:color w:val="auto"/>
          <w:spacing w:val="0"/>
          <w:sz w:val="24"/>
          <w:szCs w:val="24"/>
          <w:highlight w:val="none"/>
          <w:shd w:val="clear" w:color="auto" w:fill="FFFFFF"/>
        </w:rPr>
        <w:t>具有履行合同所必须的设备和专业技术能力</w:t>
      </w:r>
      <w:r>
        <w:rPr>
          <w:rFonts w:hint="eastAsia" w:ascii="宋体" w:hAnsi="宋体" w:eastAsia="宋体" w:cs="宋体"/>
          <w:color w:val="auto"/>
          <w:sz w:val="24"/>
          <w:szCs w:val="24"/>
          <w:highlight w:val="none"/>
        </w:rPr>
        <w:t>。</w:t>
      </w:r>
    </w:p>
    <w:p>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1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14"/>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采购投标文件装订顺序</w:t>
      </w:r>
    </w:p>
    <w:p>
      <w:pPr>
        <w:pStyle w:val="4"/>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pPr>
        <w:keepNext w:val="0"/>
        <w:keepLines w:val="0"/>
        <w:pageBreakBefore w:val="0"/>
        <w:numPr>
          <w:ilvl w:val="0"/>
          <w:numId w:val="4"/>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pPr>
        <w:keepNext w:val="0"/>
        <w:keepLines w:val="0"/>
        <w:pageBreakBefore w:val="0"/>
        <w:numPr>
          <w:ilvl w:val="0"/>
          <w:numId w:val="4"/>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p>
    <w:p>
      <w:pPr>
        <w:keepNext w:val="0"/>
        <w:keepLines w:val="0"/>
        <w:pageBreakBefore w:val="0"/>
        <w:numPr>
          <w:ilvl w:val="0"/>
          <w:numId w:val="4"/>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pPr>
        <w:keepNext w:val="0"/>
        <w:keepLines w:val="0"/>
        <w:pageBreakBefore w:val="0"/>
        <w:numPr>
          <w:ilvl w:val="0"/>
          <w:numId w:val="4"/>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pStyle w:val="7"/>
        <w:pageBreakBefore w:val="0"/>
        <w:kinsoku/>
        <w:overflowPunct/>
        <w:topLinePunct w:val="0"/>
        <w:bidi w:val="0"/>
        <w:spacing w:line="360" w:lineRule="auto"/>
        <w:rPr>
          <w:rFonts w:hint="eastAsia" w:ascii="宋体" w:hAnsi="宋体" w:eastAsia="宋体" w:cs="宋体"/>
          <w:b w:val="0"/>
          <w:i w:val="0"/>
          <w:caps w:val="0"/>
          <w:color w:val="auto"/>
          <w:spacing w:val="0"/>
          <w:w w:val="100"/>
          <w:sz w:val="24"/>
          <w:szCs w:val="24"/>
          <w:highlight w:val="none"/>
        </w:rPr>
      </w:pPr>
    </w:p>
    <w:p>
      <w:pPr>
        <w:pageBreakBefore w:val="0"/>
        <w:kinsoku/>
        <w:overflowPunct/>
        <w:topLinePunct w:val="0"/>
        <w:bidi w:val="0"/>
        <w:spacing w:line="360" w:lineRule="auto"/>
        <w:rPr>
          <w:rFonts w:hint="eastAsia" w:ascii="宋体" w:hAnsi="宋体" w:eastAsia="宋体" w:cs="宋体"/>
          <w:b w:val="0"/>
          <w:i w:val="0"/>
          <w:caps w:val="0"/>
          <w:color w:val="auto"/>
          <w:spacing w:val="0"/>
          <w:w w:val="100"/>
          <w:sz w:val="24"/>
          <w:szCs w:val="24"/>
          <w:highlight w:val="none"/>
        </w:rPr>
      </w:pPr>
    </w:p>
    <w:p>
      <w:pPr>
        <w:pStyle w:val="7"/>
        <w:pageBreakBefore w:val="0"/>
        <w:kinsoku/>
        <w:overflowPunct/>
        <w:topLinePunct w:val="0"/>
        <w:bidi w:val="0"/>
        <w:spacing w:line="360" w:lineRule="auto"/>
        <w:rPr>
          <w:rFonts w:hint="eastAsia" w:ascii="宋体" w:hAnsi="宋体" w:eastAsia="宋体" w:cs="宋体"/>
          <w:b w:val="0"/>
          <w:i w:val="0"/>
          <w:caps w:val="0"/>
          <w:color w:val="auto"/>
          <w:spacing w:val="0"/>
          <w:w w:val="100"/>
          <w:sz w:val="24"/>
          <w:szCs w:val="24"/>
          <w:highlight w:val="none"/>
        </w:rPr>
      </w:pPr>
    </w:p>
    <w:p>
      <w:pPr>
        <w:pageBreakBefore w:val="0"/>
        <w:kinsoku/>
        <w:overflowPunct/>
        <w:topLinePunct w:val="0"/>
        <w:bidi w:val="0"/>
        <w:spacing w:line="360" w:lineRule="auto"/>
        <w:rPr>
          <w:rFonts w:hint="eastAsia" w:ascii="宋体" w:hAnsi="宋体" w:eastAsia="宋体" w:cs="宋体"/>
          <w:b w:val="0"/>
          <w:i w:val="0"/>
          <w:caps w:val="0"/>
          <w:color w:val="auto"/>
          <w:spacing w:val="0"/>
          <w:w w:val="100"/>
          <w:sz w:val="24"/>
          <w:szCs w:val="24"/>
          <w:highlight w:val="none"/>
        </w:rPr>
      </w:pPr>
    </w:p>
    <w:p>
      <w:pPr>
        <w:pStyle w:val="7"/>
        <w:pageBreakBefore w:val="0"/>
        <w:kinsoku/>
        <w:overflowPunct/>
        <w:topLinePunct w:val="0"/>
        <w:bidi w:val="0"/>
        <w:spacing w:line="360" w:lineRule="auto"/>
        <w:rPr>
          <w:rFonts w:hint="eastAsia" w:ascii="宋体" w:hAnsi="宋体" w:eastAsia="宋体" w:cs="宋体"/>
          <w:b w:val="0"/>
          <w:i w:val="0"/>
          <w:caps w:val="0"/>
          <w:color w:val="auto"/>
          <w:spacing w:val="0"/>
          <w:w w:val="100"/>
          <w:sz w:val="24"/>
          <w:szCs w:val="24"/>
          <w:highlight w:val="none"/>
        </w:rPr>
      </w:pPr>
    </w:p>
    <w:p>
      <w:pPr>
        <w:pageBreakBefore w:val="0"/>
        <w:kinsoku/>
        <w:overflowPunct/>
        <w:topLinePunct w:val="0"/>
        <w:bidi w:val="0"/>
        <w:spacing w:line="360" w:lineRule="auto"/>
        <w:rPr>
          <w:rFonts w:hint="eastAsia" w:ascii="宋体" w:hAnsi="宋体" w:eastAsia="宋体" w:cs="宋体"/>
          <w:b w:val="0"/>
          <w:i w:val="0"/>
          <w:caps w:val="0"/>
          <w:color w:val="auto"/>
          <w:spacing w:val="0"/>
          <w:w w:val="100"/>
          <w:sz w:val="24"/>
          <w:szCs w:val="24"/>
          <w:highlight w:val="none"/>
        </w:rPr>
      </w:pPr>
    </w:p>
    <w:p>
      <w:pPr>
        <w:pStyle w:val="7"/>
        <w:pageBreakBefore w:val="0"/>
        <w:kinsoku/>
        <w:overflowPunct/>
        <w:topLinePunct w:val="0"/>
        <w:bidi w:val="0"/>
        <w:spacing w:line="360" w:lineRule="auto"/>
        <w:rPr>
          <w:rFonts w:hint="eastAsia" w:ascii="宋体" w:hAnsi="宋体" w:eastAsia="宋体" w:cs="宋体"/>
          <w:b w:val="0"/>
          <w:i w:val="0"/>
          <w:caps w:val="0"/>
          <w:color w:val="auto"/>
          <w:spacing w:val="0"/>
          <w:w w:val="100"/>
          <w:sz w:val="24"/>
          <w:szCs w:val="24"/>
          <w:highlight w:val="none"/>
        </w:rPr>
      </w:pPr>
    </w:p>
    <w:p>
      <w:pPr>
        <w:pageBreakBefore w:val="0"/>
        <w:kinsoku/>
        <w:overflowPunct/>
        <w:topLinePunct w:val="0"/>
        <w:bidi w:val="0"/>
        <w:spacing w:line="360" w:lineRule="auto"/>
        <w:rPr>
          <w:rFonts w:hint="eastAsia" w:ascii="宋体" w:hAnsi="宋体" w:eastAsia="宋体" w:cs="宋体"/>
          <w:b w:val="0"/>
          <w:i w:val="0"/>
          <w:caps w:val="0"/>
          <w:color w:val="auto"/>
          <w:spacing w:val="0"/>
          <w:w w:val="100"/>
          <w:sz w:val="24"/>
          <w:szCs w:val="24"/>
          <w:highlight w:val="none"/>
        </w:rPr>
      </w:pPr>
    </w:p>
    <w:p>
      <w:pPr>
        <w:pStyle w:val="7"/>
        <w:pageBreakBefore w:val="0"/>
        <w:kinsoku/>
        <w:overflowPunct/>
        <w:topLinePunct w:val="0"/>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p>
    <w:p>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keepNext w:val="0"/>
        <w:keepLines w:val="0"/>
        <w:pageBreakBefore w:val="0"/>
        <w:kinsoku/>
        <w:wordWrap/>
        <w:overflowPunct/>
        <w:topLinePunct w:val="0"/>
        <w:bidi w:val="0"/>
        <w:spacing w:beforeAutospacing="0" w:line="360" w:lineRule="auto"/>
        <w:ind w:firstLine="6240" w:firstLineChars="2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pStyle w:val="5"/>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bidi w:val="0"/>
        <w:spacing w:beforeAutospacing="0" w:line="360" w:lineRule="auto"/>
        <w:ind w:firstLine="6240" w:firstLineChars="2600"/>
        <w:jc w:val="left"/>
        <w:rPr>
          <w:rFonts w:hint="eastAsia" w:ascii="宋体" w:hAnsi="宋体" w:eastAsia="宋体" w:cs="宋体"/>
          <w:color w:val="auto"/>
          <w:sz w:val="24"/>
          <w:szCs w:val="24"/>
          <w:highlight w:val="none"/>
        </w:rPr>
      </w:pPr>
    </w:p>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BE70B"/>
    <w:multiLevelType w:val="singleLevel"/>
    <w:tmpl w:val="9B4BE70B"/>
    <w:lvl w:ilvl="0" w:tentative="0">
      <w:start w:val="1"/>
      <w:numFmt w:val="decimal"/>
      <w:lvlText w:val="%1."/>
      <w:lvlJc w:val="left"/>
      <w:pPr>
        <w:ind w:left="425" w:hanging="425"/>
      </w:pPr>
      <w:rPr>
        <w:rFonts w:hint="default"/>
      </w:rPr>
    </w:lvl>
  </w:abstractNum>
  <w:abstractNum w:abstractNumId="1">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2">
    <w:nsid w:val="E66A6062"/>
    <w:multiLevelType w:val="singleLevel"/>
    <w:tmpl w:val="E66A6062"/>
    <w:lvl w:ilvl="0" w:tentative="0">
      <w:start w:val="1"/>
      <w:numFmt w:val="decimal"/>
      <w:lvlText w:val="%1."/>
      <w:lvlJc w:val="left"/>
      <w:pPr>
        <w:tabs>
          <w:tab w:val="left" w:pos="312"/>
        </w:tabs>
      </w:pPr>
    </w:lvl>
  </w:abstractNum>
  <w:abstractNum w:abstractNumId="3">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5244176A"/>
    <w:rsid w:val="00051017"/>
    <w:rsid w:val="006548B4"/>
    <w:rsid w:val="00984987"/>
    <w:rsid w:val="01582E9F"/>
    <w:rsid w:val="022561DB"/>
    <w:rsid w:val="024B5F91"/>
    <w:rsid w:val="02E53A75"/>
    <w:rsid w:val="0423435A"/>
    <w:rsid w:val="04C176DC"/>
    <w:rsid w:val="05CD03BE"/>
    <w:rsid w:val="07AF5FEE"/>
    <w:rsid w:val="088710D9"/>
    <w:rsid w:val="094F5478"/>
    <w:rsid w:val="09F4147B"/>
    <w:rsid w:val="0A277760"/>
    <w:rsid w:val="0ACF324E"/>
    <w:rsid w:val="0B565E48"/>
    <w:rsid w:val="0B5E2A33"/>
    <w:rsid w:val="0CC42C4A"/>
    <w:rsid w:val="0CE1020E"/>
    <w:rsid w:val="0D272843"/>
    <w:rsid w:val="0F4628CF"/>
    <w:rsid w:val="0F71729A"/>
    <w:rsid w:val="0F914A2F"/>
    <w:rsid w:val="0FD4292A"/>
    <w:rsid w:val="10863CAA"/>
    <w:rsid w:val="109819C6"/>
    <w:rsid w:val="112F7D4C"/>
    <w:rsid w:val="114C276E"/>
    <w:rsid w:val="129243DD"/>
    <w:rsid w:val="12BB52A2"/>
    <w:rsid w:val="13E76168"/>
    <w:rsid w:val="15855BCE"/>
    <w:rsid w:val="15B71161"/>
    <w:rsid w:val="16795C6E"/>
    <w:rsid w:val="177F6166"/>
    <w:rsid w:val="192B394B"/>
    <w:rsid w:val="196B01BF"/>
    <w:rsid w:val="1A8B0593"/>
    <w:rsid w:val="1C151423"/>
    <w:rsid w:val="1C962C76"/>
    <w:rsid w:val="1D7B096A"/>
    <w:rsid w:val="1D7D134A"/>
    <w:rsid w:val="1DC80A69"/>
    <w:rsid w:val="1E9514A0"/>
    <w:rsid w:val="1F051509"/>
    <w:rsid w:val="1FD72787"/>
    <w:rsid w:val="20AF2A2B"/>
    <w:rsid w:val="20EF1296"/>
    <w:rsid w:val="2161289E"/>
    <w:rsid w:val="21AD5563"/>
    <w:rsid w:val="231A50A3"/>
    <w:rsid w:val="23305048"/>
    <w:rsid w:val="2487307B"/>
    <w:rsid w:val="25101CDA"/>
    <w:rsid w:val="2559103D"/>
    <w:rsid w:val="25685003"/>
    <w:rsid w:val="256C23F4"/>
    <w:rsid w:val="25C97BEE"/>
    <w:rsid w:val="26E41B28"/>
    <w:rsid w:val="281955CF"/>
    <w:rsid w:val="281D195D"/>
    <w:rsid w:val="29266E1A"/>
    <w:rsid w:val="2A044599"/>
    <w:rsid w:val="2A0F7B8F"/>
    <w:rsid w:val="2B05240B"/>
    <w:rsid w:val="2BF4266B"/>
    <w:rsid w:val="2CB371D5"/>
    <w:rsid w:val="2CF3776A"/>
    <w:rsid w:val="2D0C3CF4"/>
    <w:rsid w:val="2D611200"/>
    <w:rsid w:val="2D7F4851"/>
    <w:rsid w:val="30806B9E"/>
    <w:rsid w:val="30B43B75"/>
    <w:rsid w:val="31650772"/>
    <w:rsid w:val="31E9143D"/>
    <w:rsid w:val="33886860"/>
    <w:rsid w:val="34A55F9D"/>
    <w:rsid w:val="34BE33D7"/>
    <w:rsid w:val="35B83942"/>
    <w:rsid w:val="35DB18E9"/>
    <w:rsid w:val="361A126B"/>
    <w:rsid w:val="36545D30"/>
    <w:rsid w:val="36BF0CFE"/>
    <w:rsid w:val="37671CCB"/>
    <w:rsid w:val="383D10D3"/>
    <w:rsid w:val="39A43E9E"/>
    <w:rsid w:val="3BDD1C9A"/>
    <w:rsid w:val="3C6234CA"/>
    <w:rsid w:val="3D5123A5"/>
    <w:rsid w:val="3E3C3D7F"/>
    <w:rsid w:val="3F0F3FAB"/>
    <w:rsid w:val="3F3D74FE"/>
    <w:rsid w:val="3FBC281F"/>
    <w:rsid w:val="432A1B18"/>
    <w:rsid w:val="43E06BC0"/>
    <w:rsid w:val="450B6A83"/>
    <w:rsid w:val="4537221B"/>
    <w:rsid w:val="45631693"/>
    <w:rsid w:val="495777FB"/>
    <w:rsid w:val="4AF20173"/>
    <w:rsid w:val="4B0C6E2E"/>
    <w:rsid w:val="4BAE772A"/>
    <w:rsid w:val="4BB17333"/>
    <w:rsid w:val="4C4A7B3B"/>
    <w:rsid w:val="4C4F073F"/>
    <w:rsid w:val="4C8B4D21"/>
    <w:rsid w:val="4CEA1A71"/>
    <w:rsid w:val="4DC3281F"/>
    <w:rsid w:val="4DFC16FF"/>
    <w:rsid w:val="50066CA3"/>
    <w:rsid w:val="518B59E0"/>
    <w:rsid w:val="5244176A"/>
    <w:rsid w:val="52622C38"/>
    <w:rsid w:val="541532F3"/>
    <w:rsid w:val="544669FD"/>
    <w:rsid w:val="54F21968"/>
    <w:rsid w:val="550310E3"/>
    <w:rsid w:val="55BB16B6"/>
    <w:rsid w:val="574F6249"/>
    <w:rsid w:val="57AD74C8"/>
    <w:rsid w:val="58071A1F"/>
    <w:rsid w:val="599B1691"/>
    <w:rsid w:val="5E8575A0"/>
    <w:rsid w:val="5ECC5796"/>
    <w:rsid w:val="606964BC"/>
    <w:rsid w:val="616E24E6"/>
    <w:rsid w:val="619A462F"/>
    <w:rsid w:val="62312A9D"/>
    <w:rsid w:val="63545F00"/>
    <w:rsid w:val="635C21B5"/>
    <w:rsid w:val="64202DC6"/>
    <w:rsid w:val="6841159B"/>
    <w:rsid w:val="687F107F"/>
    <w:rsid w:val="68822004"/>
    <w:rsid w:val="6B405AFC"/>
    <w:rsid w:val="6BD8207B"/>
    <w:rsid w:val="6C8C2E23"/>
    <w:rsid w:val="6CA17546"/>
    <w:rsid w:val="6F7F20D5"/>
    <w:rsid w:val="71D8190B"/>
    <w:rsid w:val="72740C55"/>
    <w:rsid w:val="72F06D27"/>
    <w:rsid w:val="7328385A"/>
    <w:rsid w:val="739065EB"/>
    <w:rsid w:val="73DF11F6"/>
    <w:rsid w:val="73F26EC8"/>
    <w:rsid w:val="74352E35"/>
    <w:rsid w:val="74410750"/>
    <w:rsid w:val="75F21E91"/>
    <w:rsid w:val="761B77D2"/>
    <w:rsid w:val="76880984"/>
    <w:rsid w:val="77E2713E"/>
    <w:rsid w:val="78A07BDA"/>
    <w:rsid w:val="78B64B97"/>
    <w:rsid w:val="7B5209E2"/>
    <w:rsid w:val="7BA577E9"/>
    <w:rsid w:val="7C28453F"/>
    <w:rsid w:val="7C5A278F"/>
    <w:rsid w:val="7C6543A4"/>
    <w:rsid w:val="7CA56C98"/>
    <w:rsid w:val="7D1A2BCE"/>
    <w:rsid w:val="7D512D27"/>
    <w:rsid w:val="7D566EE8"/>
    <w:rsid w:val="7E345685"/>
    <w:rsid w:val="7E6D0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autoRedefine/>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12">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pPr>
      <w:spacing w:line="460" w:lineRule="exact"/>
      <w:ind w:firstLine="567"/>
    </w:pPr>
    <w:rPr>
      <w:rFonts w:ascii="宋体" w:hAnsi="Courier New" w:eastAsia="仿宋_GB2312"/>
      <w:sz w:val="28"/>
      <w:szCs w:val="20"/>
    </w:rPr>
  </w:style>
  <w:style w:type="paragraph" w:styleId="4">
    <w:name w:val="Body Text"/>
    <w:basedOn w:val="1"/>
    <w:next w:val="5"/>
    <w:autoRedefine/>
    <w:qFormat/>
    <w:uiPriority w:val="0"/>
  </w:style>
  <w:style w:type="paragraph" w:styleId="5">
    <w:name w:val="Body Text First Indent 2"/>
    <w:basedOn w:val="6"/>
    <w:autoRedefine/>
    <w:qFormat/>
    <w:uiPriority w:val="0"/>
    <w:pPr>
      <w:ind w:firstLine="420"/>
    </w:pPr>
  </w:style>
  <w:style w:type="paragraph" w:styleId="6">
    <w:name w:val="Body Text Indent"/>
    <w:basedOn w:val="1"/>
    <w:autoRedefine/>
    <w:qFormat/>
    <w:uiPriority w:val="0"/>
    <w:pPr>
      <w:ind w:firstLine="630"/>
    </w:pPr>
    <w:rPr>
      <w:sz w:val="32"/>
      <w:szCs w:val="20"/>
    </w:rPr>
  </w:style>
  <w:style w:type="paragraph" w:styleId="7">
    <w:name w:val="toc 1"/>
    <w:basedOn w:val="1"/>
    <w:next w:val="1"/>
    <w:autoRedefine/>
    <w:qFormat/>
    <w:uiPriority w:val="0"/>
    <w:pPr>
      <w:spacing w:line="180" w:lineRule="auto"/>
      <w:jc w:val="center"/>
    </w:pPr>
    <w:rPr>
      <w:sz w:val="30"/>
    </w:rPr>
  </w:style>
  <w:style w:type="paragraph" w:styleId="8">
    <w:name w:val="footnote text"/>
    <w:basedOn w:val="1"/>
    <w:autoRedefine/>
    <w:qFormat/>
    <w:uiPriority w:val="99"/>
    <w:pPr>
      <w:snapToGrid w:val="0"/>
      <w:jc w:val="left"/>
    </w:pPr>
    <w:rPr>
      <w:rFonts w:ascii="宋体" w:hAnsi="Times New Roman" w:eastAsia="宋体" w:cs="Times New Roman"/>
      <w:kern w:val="0"/>
      <w:sz w:val="18"/>
      <w:szCs w:val="18"/>
    </w:rPr>
  </w:style>
  <w:style w:type="paragraph" w:styleId="9">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样式 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GW-正文"/>
    <w:basedOn w:val="1"/>
    <w:autoRedefine/>
    <w:qFormat/>
    <w:uiPriority w:val="0"/>
    <w:pPr>
      <w:spacing w:line="360" w:lineRule="auto"/>
      <w:ind w:firstLine="200" w:firstLineChars="200"/>
    </w:pPr>
    <w:rPr>
      <w:rFonts w:eastAsia="仿宋_GB2312"/>
      <w:sz w:val="24"/>
      <w:szCs w:val="24"/>
    </w:rPr>
  </w:style>
  <w:style w:type="paragraph" w:customStyle="1" w:styleId="1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_Style 3"/>
    <w:basedOn w:val="1"/>
    <w:autoRedefine/>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2023-09-14T08:34:00Z</dcterms:created>
  <dc:creator>罗珊珊</dc:creator>
  <cp:lastModifiedBy>罗珊珊</cp:lastModifiedBy>
  <dcterms:modified xsi:type="dcterms:W3CDTF">2024-01-02T09:11:04Z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796B92C70F0F4764B01F0098AFD1D00F_12</vt:lpwstr>
  </property>
</Properties>
</file>