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晋阳院区防烟、排烟系统改造采购项目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ind w:firstLine="321" w:firstLineChars="10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kern w:val="0"/>
          <w:sz w:val="32"/>
          <w:szCs w:val="32"/>
          <w:highlight w:val="none"/>
          <w:lang w:val="en-US" w:eastAsia="zh-CN" w:bidi="ar"/>
        </w:rPr>
        <w:t xml:space="preserve"> SCFY-HQ202401-001</w:t>
      </w:r>
      <w:r>
        <w:rPr>
          <w:rFonts w:hint="eastAsia" w:ascii="黑体" w:hAnsi="黑体" w:eastAsia="黑体" w:cs="黑体"/>
          <w:b/>
          <w:bCs w:val="0"/>
          <w:color w:val="auto"/>
          <w:sz w:val="32"/>
          <w:szCs w:val="32"/>
          <w:highlight w:val="none"/>
        </w:rPr>
        <w:t>（磋）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晋阳院区防烟、排烟系统改造”院内采购会议，会议由后勤保障部组织。届时，请投标人准时参加，务必提供公司资质文件（密封盖章）、采购投标文件（密封盖章）、报价一览表（密封盖章）等资料，具体事项如下：</w:t>
      </w:r>
    </w:p>
    <w:p>
      <w:pPr>
        <w:pStyle w:val="8"/>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会议时间：</w:t>
      </w:r>
      <w:r>
        <w:rPr>
          <w:rFonts w:hint="eastAsia" w:ascii="宋体" w:hAnsi="宋体" w:cs="宋体"/>
          <w:i w:val="0"/>
          <w:iCs w:val="0"/>
          <w:caps w:val="0"/>
          <w:color w:val="auto"/>
          <w:spacing w:val="0"/>
          <w:sz w:val="24"/>
          <w:szCs w:val="24"/>
          <w:highlight w:val="none"/>
          <w:shd w:val="clear" w:color="auto" w:fill="FFFFFF"/>
          <w:lang w:eastAsia="zh-CN"/>
        </w:rPr>
        <w:t>2024年2月27日（星期二）上午9:00</w:t>
      </w:r>
    </w:p>
    <w:p>
      <w:pPr>
        <w:pStyle w:val="8"/>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会议地点：四川省妇幼保健院</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8"/>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bidi w:val="0"/>
        <w:spacing w:before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color w:val="auto"/>
          <w:sz w:val="24"/>
          <w:szCs w:val="24"/>
          <w:highlight w:val="none"/>
          <w:lang w:val="en-US" w:eastAsia="zh-CN"/>
        </w:rPr>
        <w:t>投标人必须具备</w:t>
      </w:r>
      <w:r>
        <w:rPr>
          <w:rFonts w:hint="eastAsia" w:ascii="宋体" w:hAnsi="宋体" w:cs="宋体"/>
          <w:b/>
          <w:bCs/>
          <w:color w:val="auto"/>
          <w:sz w:val="24"/>
          <w:szCs w:val="24"/>
          <w:highlight w:val="none"/>
          <w:lang w:val="en-US" w:eastAsia="zh-CN"/>
        </w:rPr>
        <w:t>消防设施工程专业承包资质二级及以上</w:t>
      </w:r>
      <w:r>
        <w:rPr>
          <w:rFonts w:hint="eastAsia" w:ascii="宋体" w:hAnsi="宋体" w:eastAsia="宋体" w:cs="宋体"/>
          <w:b/>
          <w:bCs/>
          <w:i w:val="0"/>
          <w:caps w:val="0"/>
          <w:color w:val="auto"/>
          <w:spacing w:val="0"/>
          <w:sz w:val="24"/>
          <w:szCs w:val="24"/>
          <w:highlight w:val="none"/>
          <w:shd w:val="clear" w:color="auto" w:fill="F4F5F6"/>
          <w:vertAlign w:val="baseline"/>
          <w:lang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2024年2月27日（星期二）上午9:00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cs="宋体"/>
          <w:i w:val="0"/>
          <w:iCs w:val="0"/>
          <w:caps w:val="0"/>
          <w:color w:val="auto"/>
          <w:spacing w:val="0"/>
          <w:sz w:val="24"/>
          <w:szCs w:val="24"/>
          <w:highlight w:val="none"/>
          <w:shd w:val="clear" w:color="auto" w:fill="FFFFFF"/>
          <w:lang w:eastAsia="zh-CN"/>
        </w:rPr>
        <w:t>2024年2月27日（星期二）上午9:00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cs="宋体"/>
          <w:i w:val="0"/>
          <w:iCs w:val="0"/>
          <w:caps w:val="0"/>
          <w:color w:val="auto"/>
          <w:spacing w:val="0"/>
          <w:sz w:val="24"/>
          <w:szCs w:val="24"/>
          <w:highlight w:val="none"/>
          <w:shd w:val="clear" w:color="auto" w:fill="FFFFFF"/>
          <w:lang w:eastAsia="zh-CN"/>
        </w:rPr>
        <w:t>2024年2月27日（星期二）上午9:00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9"/>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bCs/>
          <w:sz w:val="24"/>
          <w:szCs w:val="24"/>
        </w:rPr>
      </w:pPr>
      <w:r>
        <w:rPr>
          <w:rFonts w:hint="eastAsia" w:ascii="宋体" w:hAnsi="宋体" w:eastAsia="宋体" w:cs="宋体"/>
          <w:b/>
          <w:bCs/>
          <w:i w:val="0"/>
          <w:caps w:val="0"/>
          <w:color w:val="555555"/>
          <w:spacing w:val="0"/>
          <w:sz w:val="24"/>
          <w:szCs w:val="24"/>
          <w:shd w:val="clear" w:color="auto" w:fill="FFFFFF"/>
          <w:lang w:val="en-US" w:eastAsia="zh-CN"/>
        </w:rPr>
        <w:t>附件1：采购</w:t>
      </w:r>
      <w:r>
        <w:rPr>
          <w:rFonts w:hint="eastAsia" w:ascii="宋体" w:hAnsi="宋体" w:eastAsia="宋体" w:cs="宋体"/>
          <w:b/>
          <w:bCs/>
          <w:i w:val="0"/>
          <w:caps w:val="0"/>
          <w:color w:val="555555"/>
          <w:spacing w:val="0"/>
          <w:sz w:val="24"/>
          <w:szCs w:val="24"/>
          <w:shd w:val="clear" w:color="auto" w:fill="FFFFFF"/>
          <w:lang w:eastAsia="zh-CN"/>
        </w:rPr>
        <w:t>项目</w:t>
      </w:r>
      <w:r>
        <w:rPr>
          <w:rFonts w:hint="eastAsia" w:ascii="宋体" w:hAnsi="宋体" w:eastAsia="宋体" w:cs="宋体"/>
          <w:b/>
          <w:bCs/>
          <w:i w:val="0"/>
          <w:caps w:val="0"/>
          <w:color w:val="555555"/>
          <w:spacing w:val="0"/>
          <w:sz w:val="24"/>
          <w:szCs w:val="24"/>
          <w:shd w:val="clear" w:color="auto" w:fill="FFFFFF"/>
        </w:rPr>
        <w:t>、配置及</w:t>
      </w:r>
      <w:r>
        <w:rPr>
          <w:rFonts w:hint="eastAsia" w:ascii="宋体" w:hAnsi="宋体" w:eastAsia="宋体" w:cs="宋体"/>
          <w:b/>
          <w:bCs/>
          <w:i w:val="0"/>
          <w:caps w:val="0"/>
          <w:color w:val="555555"/>
          <w:spacing w:val="0"/>
          <w:sz w:val="24"/>
          <w:szCs w:val="24"/>
          <w:shd w:val="clear" w:color="auto" w:fill="FFFFFF"/>
          <w:lang w:eastAsia="zh-CN"/>
        </w:rPr>
        <w:t>改造</w:t>
      </w:r>
      <w:r>
        <w:rPr>
          <w:rFonts w:hint="eastAsia" w:ascii="宋体" w:hAnsi="宋体" w:eastAsia="宋体" w:cs="宋体"/>
          <w:b/>
          <w:bCs/>
          <w:i w:val="0"/>
          <w:caps w:val="0"/>
          <w:color w:val="555555"/>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一、项目名称：四川省妇幼保健院</w:t>
      </w:r>
      <w:r>
        <w:rPr>
          <w:rFonts w:hint="eastAsia" w:ascii="宋体" w:hAnsi="宋体" w:eastAsia="宋体" w:cs="宋体"/>
          <w:i w:val="0"/>
          <w:caps w:val="0"/>
          <w:color w:val="auto"/>
          <w:spacing w:val="0"/>
          <w:sz w:val="24"/>
          <w:szCs w:val="24"/>
          <w:shd w:val="clear" w:color="auto" w:fill="FFFFFF"/>
        </w:rPr>
        <w:t>晋阳院区</w:t>
      </w:r>
      <w:r>
        <w:rPr>
          <w:rFonts w:hint="eastAsia" w:ascii="宋体" w:hAnsi="宋体" w:eastAsia="宋体" w:cs="宋体"/>
          <w:i w:val="0"/>
          <w:caps w:val="0"/>
          <w:color w:val="auto"/>
          <w:spacing w:val="0"/>
          <w:sz w:val="24"/>
          <w:szCs w:val="24"/>
          <w:shd w:val="clear" w:color="auto" w:fill="FFFFFF"/>
          <w:lang w:eastAsia="zh-CN"/>
        </w:rPr>
        <w:t>防</w:t>
      </w:r>
      <w:r>
        <w:rPr>
          <w:rFonts w:hint="eastAsia" w:ascii="宋体" w:hAnsi="宋体" w:eastAsia="宋体" w:cs="宋体"/>
          <w:i w:val="0"/>
          <w:caps w:val="0"/>
          <w:color w:val="auto"/>
          <w:spacing w:val="0"/>
          <w:sz w:val="24"/>
          <w:szCs w:val="24"/>
          <w:shd w:val="clear" w:color="auto" w:fill="FFFFFF"/>
          <w:lang w:val="en-US" w:eastAsia="zh-CN"/>
        </w:rPr>
        <w:t>烟</w:t>
      </w:r>
      <w:r>
        <w:rPr>
          <w:rFonts w:hint="eastAsia" w:ascii="宋体" w:hAnsi="宋体" w:eastAsia="宋体" w:cs="宋体"/>
          <w:i w:val="0"/>
          <w:caps w:val="0"/>
          <w:color w:val="auto"/>
          <w:spacing w:val="0"/>
          <w:sz w:val="24"/>
          <w:szCs w:val="24"/>
          <w:shd w:val="clear" w:color="auto" w:fill="FFFFFF"/>
          <w:lang w:eastAsia="zh-CN"/>
        </w:rPr>
        <w:t>、排烟</w:t>
      </w:r>
      <w:r>
        <w:rPr>
          <w:rFonts w:hint="eastAsia" w:ascii="宋体" w:hAnsi="宋体" w:eastAsia="宋体" w:cs="宋体"/>
          <w:i w:val="0"/>
          <w:caps w:val="0"/>
          <w:color w:val="auto"/>
          <w:spacing w:val="0"/>
          <w:sz w:val="24"/>
          <w:szCs w:val="24"/>
          <w:shd w:val="clear" w:color="auto" w:fill="FFFFFF"/>
        </w:rPr>
        <w:t>系统改造</w:t>
      </w:r>
      <w:r>
        <w:rPr>
          <w:rFonts w:hint="eastAsia" w:ascii="宋体" w:hAnsi="宋体" w:eastAsia="宋体" w:cs="宋体"/>
          <w:i w:val="0"/>
          <w:caps w:val="0"/>
          <w:color w:val="auto"/>
          <w:spacing w:val="0"/>
          <w:sz w:val="24"/>
          <w:szCs w:val="24"/>
          <w:shd w:val="clear" w:color="auto" w:fill="FFFFFF"/>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二、采购方式：竞争性磋商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三、项目</w:t>
      </w:r>
      <w:r>
        <w:rPr>
          <w:rFonts w:hint="eastAsia" w:ascii="宋体" w:hAnsi="宋体" w:eastAsia="宋体" w:cs="宋体"/>
          <w:i w:val="0"/>
          <w:caps w:val="0"/>
          <w:color w:val="auto"/>
          <w:spacing w:val="0"/>
          <w:sz w:val="24"/>
          <w:szCs w:val="24"/>
          <w:shd w:val="clear" w:color="auto" w:fill="FFFFFF"/>
        </w:rPr>
        <w:t>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1.</w:t>
      </w:r>
      <w:r>
        <w:rPr>
          <w:rFonts w:hint="eastAsia" w:ascii="宋体" w:hAnsi="宋体" w:eastAsia="宋体" w:cs="宋体"/>
          <w:i w:val="0"/>
          <w:caps w:val="0"/>
          <w:color w:val="auto"/>
          <w:spacing w:val="0"/>
          <w:sz w:val="24"/>
          <w:szCs w:val="24"/>
          <w:shd w:val="clear" w:color="auto" w:fill="FFFFFF"/>
          <w:lang w:val="en-US" w:eastAsia="zh-CN"/>
        </w:rPr>
        <w:t>四川省妇幼保健院晋阳院区（以下简称“晋阳院区”）改造区域为</w:t>
      </w:r>
      <w:r>
        <w:rPr>
          <w:rFonts w:hint="eastAsia" w:ascii="宋体" w:hAnsi="宋体" w:eastAsia="宋体" w:cs="宋体"/>
          <w:i w:val="0"/>
          <w:caps w:val="0"/>
          <w:color w:val="auto"/>
          <w:spacing w:val="0"/>
          <w:sz w:val="24"/>
          <w:szCs w:val="24"/>
          <w:shd w:val="clear" w:color="auto" w:fill="FFFFFF"/>
        </w:rPr>
        <w:t>1号楼</w:t>
      </w:r>
      <w:r>
        <w:rPr>
          <w:rFonts w:hint="eastAsia" w:ascii="宋体" w:hAnsi="宋体" w:eastAsia="宋体" w:cs="宋体"/>
          <w:i w:val="0"/>
          <w:caps w:val="0"/>
          <w:color w:val="auto"/>
          <w:spacing w:val="0"/>
          <w:sz w:val="24"/>
          <w:szCs w:val="24"/>
          <w:shd w:val="clear" w:color="auto" w:fill="FFFFFF"/>
          <w:lang w:eastAsia="zh-CN"/>
        </w:rPr>
        <w:t>（一期）和</w:t>
      </w:r>
      <w:r>
        <w:rPr>
          <w:rFonts w:hint="eastAsia" w:ascii="宋体" w:hAnsi="宋体" w:eastAsia="宋体" w:cs="宋体"/>
          <w:i w:val="0"/>
          <w:caps w:val="0"/>
          <w:color w:val="auto"/>
          <w:spacing w:val="0"/>
          <w:sz w:val="24"/>
          <w:szCs w:val="24"/>
          <w:shd w:val="clear" w:color="auto" w:fill="FFFFFF"/>
          <w:lang w:val="en-US" w:eastAsia="zh-CN"/>
        </w:rPr>
        <w:t>5号楼（二期）两栋楼的消防防、排烟</w:t>
      </w:r>
      <w:r>
        <w:rPr>
          <w:rFonts w:hint="eastAsia" w:ascii="宋体" w:hAnsi="宋体" w:eastAsia="宋体" w:cs="宋体"/>
          <w:i w:val="0"/>
          <w:caps w:val="0"/>
          <w:color w:val="auto"/>
          <w:spacing w:val="0"/>
          <w:sz w:val="24"/>
          <w:szCs w:val="24"/>
          <w:shd w:val="clear" w:color="auto" w:fill="FFFFFF"/>
        </w:rPr>
        <w:t>系统</w:t>
      </w:r>
      <w:r>
        <w:rPr>
          <w:rFonts w:hint="eastAsia" w:ascii="宋体" w:hAnsi="宋体" w:eastAsia="宋体" w:cs="宋体"/>
          <w:i w:val="0"/>
          <w:caps w:val="0"/>
          <w:color w:val="auto"/>
          <w:spacing w:val="0"/>
          <w:sz w:val="24"/>
          <w:szCs w:val="24"/>
          <w:shd w:val="clear" w:color="auto" w:fill="FFFFFF"/>
          <w:lang w:val="en-US" w:eastAsia="zh-CN"/>
        </w:rPr>
        <w:t>的维修改造，项目总建筑面积约5万平方米。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2.晋阳院区</w:t>
      </w:r>
      <w:r>
        <w:rPr>
          <w:rFonts w:hint="eastAsia" w:ascii="宋体" w:hAnsi="宋体" w:eastAsia="宋体" w:cs="宋体"/>
          <w:i w:val="0"/>
          <w:caps w:val="0"/>
          <w:color w:val="auto"/>
          <w:spacing w:val="0"/>
          <w:sz w:val="24"/>
          <w:szCs w:val="24"/>
          <w:shd w:val="clear" w:color="auto" w:fill="FFFFFF"/>
        </w:rPr>
        <w:t>1号楼</w:t>
      </w:r>
      <w:r>
        <w:rPr>
          <w:rFonts w:hint="eastAsia" w:ascii="宋体" w:hAnsi="宋体" w:eastAsia="宋体" w:cs="宋体"/>
          <w:i w:val="0"/>
          <w:caps w:val="0"/>
          <w:color w:val="auto"/>
          <w:spacing w:val="0"/>
          <w:sz w:val="24"/>
          <w:szCs w:val="24"/>
          <w:shd w:val="clear" w:color="auto" w:fill="FFFFFF"/>
          <w:lang w:eastAsia="zh-CN"/>
        </w:rPr>
        <w:t>（一期）</w:t>
      </w:r>
      <w:r>
        <w:rPr>
          <w:rFonts w:hint="eastAsia" w:ascii="宋体" w:hAnsi="宋体" w:eastAsia="宋体" w:cs="宋体"/>
          <w:i w:val="0"/>
          <w:caps w:val="0"/>
          <w:color w:val="auto"/>
          <w:spacing w:val="0"/>
          <w:sz w:val="24"/>
          <w:szCs w:val="24"/>
          <w:shd w:val="clear" w:color="auto" w:fill="FFFFFF"/>
          <w:lang w:val="en-US" w:eastAsia="zh-CN"/>
        </w:rPr>
        <w:t>防烟、排烟系统部分设备老化、损坏，不能正常启动，需要更换及维修维护，除锈刷漆；晋阳院区5号楼（二期）设备需检修及维护，除锈刷漆；具体情况：风机总数50余台（均有不同故障，如：远程无法启动故障、风机故障、风机控制器故障等），风管破损约300㎡-500㎡左右，风管链接软接头破损约50个，更换部分管、线约300米左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对晋阳院区约11间消防风机房、1间消防水泵房（总面积约2000平方米）的地面（约500㎡）作环氧树脂处理，对墙面（约1500）作乳胶漆粉刷，保证消防风机房的整体卫生环境美观。</w:t>
      </w:r>
    </w:p>
    <w:p>
      <w:pPr>
        <w:pStyle w:val="2"/>
        <w:rPr>
          <w:rFonts w:hint="eastAsia" w:ascii="宋体" w:hAnsi="宋体" w:eastAsia="宋体" w:cs="宋体"/>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 xml:space="preserve">    4.潜在的公司均可到现场勘察。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i w:val="0"/>
          <w:caps w:val="0"/>
          <w:color w:val="auto"/>
          <w:spacing w:val="0"/>
          <w:sz w:val="24"/>
          <w:szCs w:val="24"/>
          <w:shd w:val="clear" w:color="auto" w:fill="FFFFFF"/>
          <w:lang w:val="en-US" w:eastAsia="zh-CN"/>
        </w:rPr>
        <w:t>三、</w:t>
      </w:r>
      <w:r>
        <w:rPr>
          <w:rFonts w:hint="eastAsia" w:ascii="宋体" w:hAnsi="宋体" w:eastAsia="宋体" w:cs="宋体"/>
          <w:b w:val="0"/>
          <w:bCs/>
          <w:color w:val="auto"/>
          <w:sz w:val="24"/>
          <w:szCs w:val="24"/>
          <w:lang w:val="en-US" w:eastAsia="zh-CN"/>
        </w:rPr>
        <w:t>规范要求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eastAsia="zh-CN"/>
        </w:rPr>
        <w:t>（一）</w:t>
      </w:r>
      <w:r>
        <w:rPr>
          <w:rFonts w:hint="eastAsia" w:ascii="宋体" w:hAnsi="宋体" w:eastAsia="宋体" w:cs="宋体"/>
          <w:i w:val="0"/>
          <w:caps w:val="0"/>
          <w:color w:val="auto"/>
          <w:spacing w:val="0"/>
          <w:sz w:val="24"/>
          <w:szCs w:val="24"/>
          <w:shd w:val="clear" w:color="auto" w:fill="FFFFFF"/>
        </w:rPr>
        <w:t>国家及地方的主要规程、规范、标准及法规：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《建筑设计防火规范》GB50016-2014（2018年版）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《建筑消防设施的维护管理》GB25201-2010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《消防设施通用规范》GB55036-2022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《建筑防排烟系统技术标准》GB51251-2017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1.本采购项目涉及的</w:t>
      </w:r>
      <w:r>
        <w:rPr>
          <w:rFonts w:hint="eastAsia" w:ascii="宋体" w:hAnsi="宋体" w:eastAsia="宋体" w:cs="宋体"/>
          <w:sz w:val="24"/>
          <w:szCs w:val="24"/>
        </w:rPr>
        <w:t>消防</w:t>
      </w:r>
      <w:r>
        <w:rPr>
          <w:rFonts w:hint="eastAsia" w:ascii="宋体" w:hAnsi="宋体" w:eastAsia="宋体" w:cs="宋体"/>
          <w:sz w:val="24"/>
          <w:szCs w:val="24"/>
          <w:lang w:val="en-US" w:eastAsia="zh-CN"/>
        </w:rPr>
        <w:t>设备</w:t>
      </w:r>
      <w:r>
        <w:rPr>
          <w:rFonts w:hint="eastAsia" w:ascii="宋体" w:hAnsi="宋体" w:eastAsia="宋体" w:cs="宋体"/>
          <w:sz w:val="24"/>
          <w:szCs w:val="24"/>
        </w:rPr>
        <w:t>技术指标要求须符合最新国家标准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严格</w:t>
      </w:r>
      <w:r>
        <w:rPr>
          <w:rFonts w:hint="eastAsia" w:ascii="宋体" w:hAnsi="宋体" w:eastAsia="宋体" w:cs="宋体"/>
          <w:sz w:val="24"/>
          <w:szCs w:val="24"/>
          <w:lang w:val="en-US" w:eastAsia="zh-CN"/>
        </w:rPr>
        <w:t>按</w:t>
      </w:r>
      <w:r>
        <w:rPr>
          <w:rFonts w:hint="eastAsia" w:ascii="宋体" w:hAnsi="宋体" w:eastAsia="宋体" w:cs="宋体"/>
          <w:sz w:val="24"/>
          <w:szCs w:val="24"/>
        </w:rPr>
        <w:t>照《中华人民共和国产品质量法》（中华人民共和国主席令第33号）及国家相关规定</w:t>
      </w:r>
      <w:r>
        <w:rPr>
          <w:rFonts w:hint="eastAsia" w:ascii="宋体" w:hAnsi="宋体" w:eastAsia="宋体" w:cs="宋体"/>
          <w:sz w:val="24"/>
          <w:szCs w:val="24"/>
          <w:lang w:val="en-US" w:eastAsia="zh-CN"/>
        </w:rPr>
        <w:t>标准</w:t>
      </w:r>
      <w:r>
        <w:rPr>
          <w:rFonts w:hint="eastAsia" w:ascii="宋体" w:hAnsi="宋体" w:eastAsia="宋体" w:cs="宋体"/>
          <w:sz w:val="24"/>
          <w:szCs w:val="24"/>
        </w:rPr>
        <w:t>，保证消防器材</w:t>
      </w:r>
      <w:r>
        <w:rPr>
          <w:rFonts w:hint="eastAsia" w:ascii="宋体" w:hAnsi="宋体" w:eastAsia="宋体" w:cs="宋体"/>
          <w:sz w:val="24"/>
          <w:szCs w:val="24"/>
          <w:lang w:eastAsia="zh-CN"/>
        </w:rPr>
        <w:t>和消防设备材料</w:t>
      </w:r>
      <w:r>
        <w:rPr>
          <w:rFonts w:hint="eastAsia" w:ascii="宋体" w:hAnsi="宋体" w:eastAsia="宋体" w:cs="宋体"/>
          <w:sz w:val="24"/>
          <w:szCs w:val="24"/>
        </w:rPr>
        <w:t>的质量</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3.本采购项目涉及的消防设备需与我院现有品牌相兼容或提供同类国标产品。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4.本采购项目系统改造需与我院主机设备相兼容，使消防风机控制柜维修后与消防主机准确联动无误，确保我院所有防排烟系统正常运行。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四、合同服务期限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自合同签订采购方向中标供应商发出进场施工通知60个日历日完工。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五、本采购项目最高限价为28万元，超过最高限价的报价为无效投标。按合同约定进度支付款项。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六、现场踏勘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1.现场踏勘时间：2024年2月22日9:00-11:00</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2.地址：成都市武侯区沙堰西二街290号，联系人：陈振杰，联系方式：028-65978238。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七、评审方法：</w:t>
      </w:r>
      <w:r>
        <w:rPr>
          <w:rFonts w:hint="eastAsia" w:ascii="宋体" w:hAnsi="宋体" w:eastAsia="宋体" w:cs="宋体"/>
          <w:color w:val="auto"/>
          <w:sz w:val="24"/>
          <w:szCs w:val="24"/>
        </w:rPr>
        <w:t>本采购项目采用综合评分法。</w:t>
      </w:r>
    </w:p>
    <w:p>
      <w:pPr>
        <w:pStyle w:val="4"/>
        <w:tabs>
          <w:tab w:val="left" w:pos="600"/>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10"/>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37"/>
        <w:gridCol w:w="793"/>
        <w:gridCol w:w="568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96"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723"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评分</w:t>
            </w:r>
          </w:p>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因素</w:t>
            </w:r>
          </w:p>
        </w:tc>
        <w:tc>
          <w:tcPr>
            <w:tcW w:w="399"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分值</w:t>
            </w:r>
          </w:p>
        </w:tc>
        <w:tc>
          <w:tcPr>
            <w:tcW w:w="2859"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评分标准</w:t>
            </w:r>
          </w:p>
        </w:tc>
        <w:tc>
          <w:tcPr>
            <w:tcW w:w="621" w:type="pct"/>
            <w:vAlign w:val="center"/>
          </w:tcPr>
          <w:p>
            <w:pPr>
              <w:widowControl/>
              <w:spacing w:line="340" w:lineRule="exact"/>
              <w:jc w:val="center"/>
              <w:rPr>
                <w:rFonts w:hint="eastAsia" w:ascii="宋体" w:hAnsi="宋体" w:eastAsia="宋体" w:cs="宋体"/>
                <w:b/>
                <w:color w:val="333333"/>
                <w:kern w:val="0"/>
                <w:sz w:val="24"/>
                <w:szCs w:val="24"/>
              </w:rPr>
            </w:pPr>
            <w:r>
              <w:rPr>
                <w:rFonts w:hint="eastAsia" w:ascii="宋体" w:hAnsi="宋体" w:eastAsia="宋体" w:cs="宋体"/>
                <w:b/>
                <w:color w:val="333333"/>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6" w:type="pct"/>
            <w:vAlign w:val="center"/>
          </w:tcPr>
          <w:p>
            <w:pPr>
              <w:widowControl/>
              <w:spacing w:line="340" w:lineRule="exact"/>
              <w:jc w:val="center"/>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投标</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报价</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399" w:type="pct"/>
            <w:vAlign w:val="center"/>
          </w:tcPr>
          <w:p>
            <w:pPr>
              <w:widowControl/>
              <w:spacing w:line="340" w:lineRule="exact"/>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3</w:t>
            </w:r>
          </w:p>
        </w:tc>
        <w:tc>
          <w:tcPr>
            <w:tcW w:w="2859" w:type="pct"/>
            <w:vAlign w:val="center"/>
          </w:tcPr>
          <w:p>
            <w:pPr>
              <w:widowControl/>
              <w:spacing w:line="340" w:lineRule="exact"/>
              <w:rPr>
                <w:rFonts w:hint="eastAsia" w:ascii="宋体" w:hAnsi="宋体" w:eastAsia="宋体" w:cs="宋体"/>
                <w:kern w:val="0"/>
                <w:sz w:val="24"/>
                <w:szCs w:val="24"/>
              </w:rPr>
            </w:pPr>
            <w:r>
              <w:rPr>
                <w:rFonts w:hint="eastAsia" w:ascii="宋体" w:hAnsi="宋体" w:eastAsia="宋体" w:cs="宋体"/>
                <w:sz w:val="24"/>
                <w:szCs w:val="24"/>
              </w:rPr>
              <w:t>满足招标文件要求且投标报价最低的有效投标报价为评标基准价，其投标人的报价分为3</w:t>
            </w:r>
            <w:r>
              <w:rPr>
                <w:rFonts w:hint="eastAsia" w:ascii="宋体" w:hAnsi="宋体" w:eastAsia="宋体" w:cs="宋体"/>
                <w:sz w:val="24"/>
                <w:szCs w:val="24"/>
                <w:lang w:val="en-US" w:eastAsia="zh-CN"/>
              </w:rPr>
              <w:t>3</w:t>
            </w:r>
            <w:r>
              <w:rPr>
                <w:rFonts w:hint="eastAsia" w:ascii="宋体" w:hAnsi="宋体" w:eastAsia="宋体" w:cs="宋体"/>
                <w:sz w:val="24"/>
                <w:szCs w:val="24"/>
              </w:rPr>
              <w:t>分。其他投标人的报价分按以下公式计算：报价得分=(评标基准价／投标报价)×3</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c>
          <w:tcPr>
            <w:tcW w:w="621" w:type="pct"/>
            <w:vAlign w:val="center"/>
          </w:tcPr>
          <w:p>
            <w:pPr>
              <w:spacing w:line="340" w:lineRule="exact"/>
              <w:jc w:val="center"/>
              <w:rPr>
                <w:rFonts w:hint="eastAsia" w:ascii="宋体" w:hAnsi="宋体" w:eastAsia="宋体" w:cs="宋体"/>
                <w:kern w:val="0"/>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6"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技术方案及</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主要措施方案、工程进度</w:t>
            </w:r>
            <w:r>
              <w:rPr>
                <w:rFonts w:hint="eastAsia" w:ascii="宋体" w:hAnsi="宋体" w:eastAsia="宋体" w:cs="宋体"/>
                <w:sz w:val="24"/>
                <w:szCs w:val="24"/>
                <w:lang w:val="en-US" w:eastAsia="zh-CN"/>
              </w:rPr>
              <w:t>18</w:t>
            </w:r>
            <w:r>
              <w:rPr>
                <w:rFonts w:hint="eastAsia" w:ascii="宋体" w:hAnsi="宋体" w:eastAsia="宋体" w:cs="宋体"/>
                <w:sz w:val="24"/>
                <w:szCs w:val="24"/>
              </w:rPr>
              <w:t>%</w:t>
            </w:r>
          </w:p>
        </w:tc>
        <w:tc>
          <w:tcPr>
            <w:tcW w:w="399"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2859"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根据供应商提供的技术方案及主要措施方案进行评审，包括：（1）施工方案；（2）技术措施；（3）确保工程进度计划与措施。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上述3项内容齐全且无缺陷（缺陷是指存在项目名称错误、地点区域错误、内容与本项目需求无关、方案内容矛盾或表述前后不一致、仅有框架或标题、适用的标准（方法）错误、明显复制其他项目内容等任意一种情形）得</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分，每缺少一项内容扣 </w:t>
            </w:r>
            <w:r>
              <w:rPr>
                <w:rFonts w:hint="eastAsia" w:ascii="宋体" w:hAnsi="宋体" w:eastAsia="宋体" w:cs="宋体"/>
                <w:sz w:val="24"/>
                <w:szCs w:val="24"/>
                <w:lang w:val="en-US" w:eastAsia="zh-CN"/>
              </w:rPr>
              <w:t>6</w:t>
            </w:r>
            <w:r>
              <w:rPr>
                <w:rFonts w:hint="eastAsia" w:ascii="宋体" w:hAnsi="宋体" w:eastAsia="宋体" w:cs="宋体"/>
                <w:sz w:val="24"/>
                <w:szCs w:val="24"/>
              </w:rPr>
              <w:t>分，扣完为止；单项内容每存在一处缺陷扣</w:t>
            </w:r>
            <w:r>
              <w:rPr>
                <w:rFonts w:hint="eastAsia" w:ascii="宋体" w:hAnsi="宋体" w:eastAsia="宋体" w:cs="宋体"/>
                <w:sz w:val="24"/>
                <w:szCs w:val="24"/>
                <w:lang w:val="en-US" w:eastAsia="zh-CN"/>
              </w:rPr>
              <w:t>3</w:t>
            </w:r>
            <w:r>
              <w:rPr>
                <w:rFonts w:hint="eastAsia" w:ascii="宋体" w:hAnsi="宋体" w:eastAsia="宋体" w:cs="宋体"/>
                <w:sz w:val="24"/>
                <w:szCs w:val="24"/>
              </w:rPr>
              <w:t>分，单项内容分扣完为止。</w:t>
            </w:r>
          </w:p>
        </w:tc>
        <w:tc>
          <w:tcPr>
            <w:tcW w:w="621"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6" w:type="pct"/>
            <w:vAlign w:val="center"/>
          </w:tcPr>
          <w:p>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安全和文明</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施工保证体</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系及措施</w:t>
            </w:r>
            <w:r>
              <w:rPr>
                <w:rFonts w:hint="eastAsia" w:ascii="宋体" w:hAnsi="宋体" w:eastAsia="宋体" w:cs="宋体"/>
                <w:sz w:val="24"/>
                <w:szCs w:val="24"/>
                <w:lang w:val="en-US" w:eastAsia="zh-CN"/>
              </w:rPr>
              <w:t>16</w:t>
            </w:r>
            <w:r>
              <w:rPr>
                <w:rFonts w:hint="eastAsia" w:ascii="宋体" w:hAnsi="宋体" w:eastAsia="宋体" w:cs="宋体"/>
                <w:sz w:val="24"/>
                <w:szCs w:val="24"/>
              </w:rPr>
              <w:t>%</w:t>
            </w:r>
          </w:p>
        </w:tc>
        <w:tc>
          <w:tcPr>
            <w:tcW w:w="399" w:type="pct"/>
            <w:vAlign w:val="center"/>
          </w:tcPr>
          <w:p>
            <w:pPr>
              <w:widowControl/>
              <w:spacing w:line="3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2859"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根据供应商提供的安全和文明施工保证体系及措施进行评审，包括：</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（1）安全责任制度和管理措施；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（2）安全教育和安全培训制度及管理措施；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（3）各项安全规章制度和操作规程；</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（4）作业安全措施和防护措施。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上述 4 项内容齐全且无缺陷（缺陷是指存在项目名称错误、地点区域错误、内容与本项目需求无关、方案内容矛盾或表述前后不一致、仅有框架或标题、适用的标准（方法）错误、明显复制其他项目内容等任意一种情形）得</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分，每缺少一项内容扣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分，扣完为止；单项内容每存在一处缺陷扣</w:t>
            </w:r>
            <w:r>
              <w:rPr>
                <w:rFonts w:hint="eastAsia" w:ascii="宋体" w:hAnsi="宋体" w:eastAsia="宋体" w:cs="宋体"/>
                <w:sz w:val="24"/>
                <w:szCs w:val="24"/>
                <w:lang w:val="en-US" w:eastAsia="zh-CN"/>
              </w:rPr>
              <w:t>2</w:t>
            </w:r>
            <w:r>
              <w:rPr>
                <w:rFonts w:hint="eastAsia" w:ascii="宋体" w:hAnsi="宋体" w:eastAsia="宋体" w:cs="宋体"/>
                <w:sz w:val="24"/>
                <w:szCs w:val="24"/>
              </w:rPr>
              <w:t>分，单项内容分扣完为止。</w:t>
            </w:r>
          </w:p>
        </w:tc>
        <w:tc>
          <w:tcPr>
            <w:tcW w:w="621"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6" w:type="pct"/>
            <w:vAlign w:val="center"/>
          </w:tcPr>
          <w:p>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专项技术方案16%</w:t>
            </w:r>
          </w:p>
        </w:tc>
        <w:tc>
          <w:tcPr>
            <w:tcW w:w="399" w:type="pct"/>
            <w:vAlign w:val="center"/>
          </w:tcPr>
          <w:p>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2859"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根据供应商提供的专项技术方案进行评审， 包括：</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（1）项目实施过程不影响院内正常工作开展的相关措施；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（2）项目实施过程中已有成品保护措施；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（3）项目实施过程不影响其他区域消防设施正常工作的相关措施；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（4）联调联试方案及相关措施。</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上述 4 项内容齐全且无缺陷（缺陷是指存在项目名称错误、地点区域错误、内容与本项目需求无关、方案内容矛盾或表述前后不一致、仅有框架或标题、适用的标准（方法）错误、明显复制其他项目内容等任意一种情形）得 16 分，每缺少一项内容扣 4 分， 扣完为止；单项内容每存在一处缺陷扣2分，单项内容分扣完为止。</w:t>
            </w:r>
          </w:p>
        </w:tc>
        <w:tc>
          <w:tcPr>
            <w:tcW w:w="621"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6" w:type="pct"/>
            <w:vAlign w:val="center"/>
          </w:tcPr>
          <w:p>
            <w:pPr>
              <w:widowControl/>
              <w:spacing w:line="340" w:lineRule="exact"/>
              <w:jc w:val="center"/>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6</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业绩</w:t>
            </w:r>
          </w:p>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99"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859"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1.供应商具有《质量管理体系认证证书》得1分，具有《职业健康安全管理体系认证证书》得1分，具有《环境管理体系认证证书》得1分，最多得3分。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投标人2020年1月1日（含）至递交投标文件截止日具有类似本项目的业绩，每提供1个业绩得1分，最多得5分。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注：①提供销售采购合同或中标通知书或发票复印件加盖投标人公章。</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 xml:space="preserve">②证书须提供复印件及网页截图。 </w:t>
            </w:r>
          </w:p>
        </w:tc>
        <w:tc>
          <w:tcPr>
            <w:tcW w:w="621" w:type="pct"/>
            <w:vAlign w:val="center"/>
          </w:tcPr>
          <w:p>
            <w:pPr>
              <w:spacing w:line="340" w:lineRule="exact"/>
              <w:jc w:val="center"/>
              <w:rPr>
                <w:rFonts w:hint="eastAsia" w:ascii="宋体" w:hAnsi="宋体" w:eastAsia="宋体" w:cs="宋体"/>
                <w:color w:val="000000"/>
                <w:kern w:val="0"/>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6" w:type="pct"/>
            <w:vAlign w:val="center"/>
          </w:tcPr>
          <w:p>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人员配置7%</w:t>
            </w:r>
          </w:p>
        </w:tc>
        <w:tc>
          <w:tcPr>
            <w:tcW w:w="399"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859" w:type="pct"/>
            <w:vAlign w:val="center"/>
          </w:tcPr>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项目负责人应具有机电工程专业建造师执业资格，或者具有一级注册消防工程师证书，得 3分；</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技术负责人应具有中级工程师（机电工程专业）及以上证书，或者具</w:t>
            </w:r>
            <w:r>
              <w:rPr>
                <w:rStyle w:val="13"/>
                <w:rFonts w:hint="eastAsia" w:ascii="宋体" w:hAnsi="宋体" w:eastAsia="宋体" w:cs="宋体"/>
                <w:sz w:val="24"/>
                <w:szCs w:val="24"/>
                <w:highlight w:val="none"/>
              </w:rPr>
              <w:t>有二级</w:t>
            </w:r>
            <w:r>
              <w:rPr>
                <w:rFonts w:hint="eastAsia" w:ascii="宋体" w:hAnsi="宋体" w:eastAsia="宋体" w:cs="宋体"/>
                <w:sz w:val="24"/>
                <w:szCs w:val="24"/>
                <w:highlight w:val="none"/>
              </w:rPr>
              <w:t>注册消防工程师证书，得2分；</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项目其他成员应具有相应上岗证书，如，施工员、质检员、安全员、材料员，每提供一个工种证书得0.5分，同一工种证书重复提供证不得分；本单项最多得2分。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highlight w:val="none"/>
              </w:rPr>
              <w:t>证书须提供复印件及与供应商的劳动合同。</w:t>
            </w:r>
          </w:p>
        </w:tc>
        <w:tc>
          <w:tcPr>
            <w:tcW w:w="621" w:type="pct"/>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6" w:type="pct"/>
            <w:vAlign w:val="center"/>
          </w:tcPr>
          <w:p>
            <w:pPr>
              <w:widowControl/>
              <w:spacing w:line="3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723"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质保期服务承诺2%</w:t>
            </w:r>
          </w:p>
        </w:tc>
        <w:tc>
          <w:tcPr>
            <w:tcW w:w="399" w:type="pct"/>
            <w:vAlign w:val="center"/>
          </w:tcPr>
          <w:p>
            <w:pPr>
              <w:widowControl/>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859" w:type="pct"/>
            <w:vAlign w:val="center"/>
          </w:tcPr>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承诺在施工完成后对使用单位进行技术培训得 1分；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承诺在接到故障处理通知后31-60分钟内赶到现场开展处理工作的得0.5分；承诺1-30分钟内赶到现场开展处理工作的得1 分；没有不得分。</w:t>
            </w:r>
          </w:p>
          <w:p>
            <w:pPr>
              <w:widowControl/>
              <w:spacing w:line="340" w:lineRule="exact"/>
              <w:rPr>
                <w:rFonts w:hint="eastAsia" w:ascii="宋体" w:hAnsi="宋体" w:eastAsia="宋体" w:cs="宋体"/>
                <w:sz w:val="24"/>
                <w:szCs w:val="24"/>
              </w:rPr>
            </w:pPr>
            <w:r>
              <w:rPr>
                <w:rFonts w:hint="eastAsia" w:ascii="宋体" w:hAnsi="宋体" w:eastAsia="宋体" w:cs="宋体"/>
                <w:sz w:val="24"/>
                <w:szCs w:val="24"/>
              </w:rPr>
              <w:t>提供承诺函原件并加盖供应商公章。</w:t>
            </w:r>
          </w:p>
        </w:tc>
        <w:tc>
          <w:tcPr>
            <w:tcW w:w="621" w:type="pct"/>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共同评审因素</w:t>
            </w:r>
          </w:p>
        </w:tc>
      </w:tr>
    </w:tbl>
    <w:p>
      <w:pPr>
        <w:ind w:firstLine="360" w:firstLineChars="150"/>
        <w:rPr>
          <w:rFonts w:hint="eastAsia" w:ascii="宋体" w:hAnsi="宋体" w:eastAsia="宋体" w:cs="宋体"/>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1.本次竞争性磋商要求报价均为含税价，报价中需包含不含税报价与价外增值税两部分，并清楚注明税率。</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注：评分的取值按四舍五入法，保留小数点后两位。</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六、保密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凡属于与本次竞争性磋商所有相关的资料和信息，各</w:t>
      </w:r>
      <w:r>
        <w:rPr>
          <w:rFonts w:hint="eastAsia" w:ascii="宋体" w:hAnsi="宋体" w:eastAsia="宋体" w:cs="宋体"/>
          <w:color w:val="auto"/>
          <w:sz w:val="24"/>
          <w:szCs w:val="24"/>
          <w:lang w:val="en-US" w:eastAsia="zh-CN"/>
        </w:rPr>
        <w:t>参会</w:t>
      </w:r>
      <w:r>
        <w:rPr>
          <w:rFonts w:hint="eastAsia" w:ascii="宋体" w:hAnsi="宋体" w:eastAsia="宋体" w:cs="宋体"/>
          <w:color w:val="auto"/>
          <w:sz w:val="24"/>
          <w:szCs w:val="24"/>
        </w:rPr>
        <w:t>磋商人在任何</w:t>
      </w:r>
      <w:r>
        <w:rPr>
          <w:rFonts w:hint="eastAsia" w:ascii="宋体" w:hAnsi="宋体" w:eastAsia="宋体" w:cs="宋体"/>
          <w:color w:val="auto"/>
          <w:sz w:val="24"/>
          <w:szCs w:val="24"/>
          <w:lang w:val="en-US" w:eastAsia="zh-CN"/>
        </w:rPr>
        <w:t>情况下</w:t>
      </w:r>
      <w:r>
        <w:rPr>
          <w:rFonts w:hint="eastAsia" w:ascii="宋体" w:hAnsi="宋体" w:eastAsia="宋体" w:cs="宋体"/>
          <w:color w:val="auto"/>
          <w:sz w:val="24"/>
          <w:szCs w:val="24"/>
        </w:rPr>
        <w:t>均不得向任何第三方泄露。</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pStyle w:val="5"/>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jc w:val="center"/>
        <w:rPr>
          <w:rFonts w:hint="default"/>
          <w:lang w:val="en-US"/>
        </w:rPr>
      </w:pPr>
      <w:r>
        <w:rPr>
          <w:rFonts w:hint="eastAsia" w:ascii="宋体" w:hAnsi="宋体" w:cs="宋体"/>
          <w:color w:val="auto"/>
          <w:kern w:val="0"/>
          <w:sz w:val="24"/>
          <w:szCs w:val="24"/>
          <w:highlight w:val="none"/>
          <w:lang w:val="en-US" w:eastAsia="zh-CN"/>
        </w:rPr>
        <w:t>报价一览表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6"/>
        <w:pageBreakBefore w:val="0"/>
        <w:kinsoku/>
        <w:overflowPunct/>
        <w:topLinePunct w:val="0"/>
        <w:bidi w:val="0"/>
        <w:spacing w:line="360" w:lineRule="auto"/>
        <w:jc w:val="left"/>
        <w:rPr>
          <w:rFonts w:hint="eastAsia" w:ascii="宋体" w:hAnsi="宋体" w:cs="宋体"/>
          <w:b/>
          <w:bCs/>
          <w:sz w:val="24"/>
          <w:szCs w:val="24"/>
          <w:lang w:val="en-US" w:eastAsia="zh-CN"/>
        </w:rPr>
      </w:pPr>
    </w:p>
    <w:p>
      <w:pPr>
        <w:pStyle w:val="6"/>
        <w:pageBreakBefore w:val="0"/>
        <w:kinsoku/>
        <w:overflowPunct/>
        <w:topLinePunct w:val="0"/>
        <w:bidi w:val="0"/>
        <w:spacing w:line="360" w:lineRule="auto"/>
        <w:jc w:val="left"/>
        <w:rPr>
          <w:rFonts w:hint="eastAsia" w:ascii="宋体" w:hAnsi="宋体" w:cs="宋体"/>
          <w:b/>
          <w:bCs/>
          <w:sz w:val="24"/>
          <w:szCs w:val="24"/>
          <w:lang w:val="en-US" w:eastAsia="zh-CN"/>
        </w:rPr>
      </w:pPr>
    </w:p>
    <w:p>
      <w:pPr>
        <w:pStyle w:val="6"/>
        <w:pageBreakBefore w:val="0"/>
        <w:kinsoku/>
        <w:overflowPunct/>
        <w:topLinePunct w:val="0"/>
        <w:bidi w:val="0"/>
        <w:spacing w:line="360" w:lineRule="auto"/>
        <w:jc w:val="left"/>
        <w:rPr>
          <w:rFonts w:hint="eastAsia" w:ascii="宋体" w:hAnsi="宋体" w:cs="宋体"/>
          <w:b/>
          <w:bCs/>
          <w:sz w:val="24"/>
          <w:szCs w:val="24"/>
          <w:lang w:val="en-US" w:eastAsia="zh-CN"/>
        </w:rPr>
      </w:pPr>
    </w:p>
    <w:p>
      <w:pPr>
        <w:pStyle w:val="6"/>
        <w:pageBreakBefore w:val="0"/>
        <w:kinsoku/>
        <w:overflowPunct/>
        <w:topLinePunct w:val="0"/>
        <w:bidi w:val="0"/>
        <w:spacing w:line="360" w:lineRule="auto"/>
        <w:jc w:val="left"/>
        <w:rPr>
          <w:rFonts w:hint="eastAsia" w:ascii="宋体" w:hAnsi="宋体" w:cs="宋体"/>
          <w:b/>
          <w:bCs/>
          <w:sz w:val="24"/>
          <w:szCs w:val="24"/>
          <w:lang w:val="en-US" w:eastAsia="zh-CN"/>
        </w:rPr>
      </w:pPr>
    </w:p>
    <w:p>
      <w:pPr>
        <w:pStyle w:val="6"/>
        <w:pageBreakBefore w:val="0"/>
        <w:kinsoku/>
        <w:overflowPunct/>
        <w:topLinePunct w:val="0"/>
        <w:bidi w:val="0"/>
        <w:spacing w:line="360" w:lineRule="auto"/>
        <w:jc w:val="left"/>
        <w:rPr>
          <w:rFonts w:hint="eastAsia" w:ascii="宋体" w:hAnsi="宋体" w:cs="宋体"/>
          <w:b/>
          <w:bCs/>
          <w:sz w:val="24"/>
          <w:szCs w:val="24"/>
          <w:lang w:val="en-US" w:eastAsia="zh-CN"/>
        </w:rPr>
      </w:pPr>
    </w:p>
    <w:p>
      <w:pPr>
        <w:pStyle w:val="6"/>
        <w:pageBreakBefore w:val="0"/>
        <w:kinsoku/>
        <w:overflowPunct/>
        <w:topLinePunct w:val="0"/>
        <w:bidi w:val="0"/>
        <w:spacing w:line="360" w:lineRule="auto"/>
        <w:jc w:val="left"/>
        <w:rPr>
          <w:rFonts w:hint="default" w:ascii="宋体" w:hAnsi="宋体" w:eastAsia="宋体" w:cs="宋体"/>
          <w:b/>
          <w:bCs/>
          <w:sz w:val="24"/>
          <w:szCs w:val="24"/>
          <w:lang w:val="en-US" w:eastAsia="zh-CN"/>
        </w:rPr>
      </w:pPr>
      <w:bookmarkStart w:id="0" w:name="_GoBack"/>
      <w:bookmarkEnd w:id="0"/>
      <w:r>
        <w:rPr>
          <w:rFonts w:hint="eastAsia" w:ascii="宋体" w:hAnsi="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pPr>
        <w:pStyle w:val="8"/>
        <w:keepNext w:val="0"/>
        <w:keepLines w:val="0"/>
        <w:pageBreakBefore w:val="0"/>
        <w:widowControl/>
        <w:suppressLineNumbers w:val="0"/>
        <w:kinsoku/>
        <w:overflowPunct/>
        <w:topLinePunct w:val="0"/>
        <w:bidi w:val="0"/>
        <w:adjustRightInd/>
        <w:spacing w:line="360" w:lineRule="auto"/>
        <w:rPr>
          <w:rFonts w:hint="eastAsia" w:ascii="宋体" w:hAnsi="宋体" w:eastAsia="宋体" w:cs="宋体"/>
          <w:sz w:val="24"/>
          <w:szCs w:val="24"/>
        </w:rPr>
      </w:pPr>
      <w:r>
        <w:rPr>
          <w:rFonts w:hint="eastAsia" w:ascii="宋体" w:hAnsi="宋体" w:cs="宋体"/>
          <w:b/>
          <w:sz w:val="24"/>
          <w:szCs w:val="24"/>
          <w:lang w:val="en-US" w:eastAsia="zh-CN"/>
        </w:rPr>
        <w:t>商务、</w:t>
      </w:r>
      <w:r>
        <w:rPr>
          <w:rFonts w:hint="eastAsia" w:ascii="宋体" w:hAnsi="宋体" w:eastAsia="宋体" w:cs="宋体"/>
          <w:b/>
          <w:sz w:val="24"/>
          <w:szCs w:val="24"/>
        </w:rPr>
        <w:t>技术、服务响应/偏离表 </w:t>
      </w:r>
    </w:p>
    <w:p>
      <w:pPr>
        <w:pStyle w:val="8"/>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8"/>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0"/>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8"/>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8"/>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8"/>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8"/>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8"/>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8"/>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8"/>
        <w:keepNext w:val="0"/>
        <w:keepLines w:val="0"/>
        <w:pageBreakBefore w:val="0"/>
        <w:widowControl/>
        <w:suppressLineNumbers w:val="0"/>
        <w:kinsoku/>
        <w:overflowPunct/>
        <w:topLinePunct w:val="0"/>
        <w:bidi w:val="0"/>
        <w:adjustRightInd/>
        <w:spacing w:line="360" w:lineRule="auto"/>
        <w:ind w:left="0" w:firstLine="480"/>
        <w:rPr>
          <w:rFonts w:hint="default"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w:t>
      </w:r>
      <w:r>
        <w:rPr>
          <w:rFonts w:hint="eastAsia" w:ascii="微软雅黑" w:hAnsi="微软雅黑" w:eastAsia="微软雅黑" w:cs="微软雅黑"/>
          <w:sz w:val="24"/>
          <w:szCs w:val="24"/>
        </w:rPr>
        <w:t>★</w:t>
      </w:r>
      <w:r>
        <w:rPr>
          <w:rFonts w:hint="eastAsia" w:ascii="宋体" w:hAnsi="宋体" w:eastAsia="宋体" w:cs="宋体"/>
          <w:sz w:val="24"/>
          <w:szCs w:val="24"/>
        </w:rPr>
        <w:t>技术相关条款如有偏离条款，请将偏离条款逐条应答。未明确偏离的条款，视为默认接受，供应商不得籍未作应答而拒不接受。</w:t>
      </w:r>
      <w:r>
        <w:rPr>
          <w:rFonts w:hint="eastAsia" w:ascii="宋体" w:hAnsi="宋体" w:cs="宋体"/>
          <w:sz w:val="24"/>
          <w:szCs w:val="24"/>
          <w:lang w:val="en-US" w:eastAsia="zh-CN"/>
        </w:rPr>
        <w:t>如无偏离，请填写无偏离或正偏离。</w:t>
      </w:r>
    </w:p>
    <w:p>
      <w:pPr>
        <w:pStyle w:val="8"/>
        <w:keepNext w:val="0"/>
        <w:keepLines w:val="0"/>
        <w:pageBreakBefore w:val="0"/>
        <w:widowControl/>
        <w:suppressLineNumbers w:val="0"/>
        <w:kinsoku/>
        <w:overflowPunct/>
        <w:topLinePunct w:val="0"/>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w:t>
      </w:r>
    </w:p>
    <w:p>
      <w:pPr>
        <w:pStyle w:val="5"/>
        <w:pageBreakBefore w:val="0"/>
        <w:kinsoku/>
        <w:overflowPunct/>
        <w:topLinePunct w:val="0"/>
        <w:bidi w:val="0"/>
        <w:spacing w:line="360" w:lineRule="auto"/>
        <w:ind w:left="0" w:leftChars="0" w:firstLine="0" w:firstLineChars="0"/>
        <w:rPr>
          <w:rFonts w:hint="eastAsia" w:ascii="宋体" w:hAnsi="宋体" w:eastAsia="宋体" w:cs="宋体"/>
          <w:b/>
          <w:bCs/>
          <w:color w:val="auto"/>
          <w:sz w:val="24"/>
          <w:szCs w:val="24"/>
          <w:highlight w:val="none"/>
        </w:rPr>
      </w:pPr>
    </w:p>
    <w:p>
      <w:pPr>
        <w:pStyle w:val="15"/>
        <w:pageBreakBefore w:val="0"/>
        <w:kinsoku/>
        <w:overflowPunct/>
        <w:topLinePunct w:val="0"/>
        <w:bidi w:val="0"/>
        <w:snapToGrid w:val="0"/>
        <w:spacing w:beforeLines="100" w:afterLines="100"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6"/>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6"/>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6"/>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6"/>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6"/>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9"/>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E53A75"/>
    <w:rsid w:val="0423435A"/>
    <w:rsid w:val="04C176DC"/>
    <w:rsid w:val="05CD03BE"/>
    <w:rsid w:val="07AF5FEE"/>
    <w:rsid w:val="088710D9"/>
    <w:rsid w:val="094F5478"/>
    <w:rsid w:val="09F4147B"/>
    <w:rsid w:val="0A277760"/>
    <w:rsid w:val="0ACF324E"/>
    <w:rsid w:val="0B565E48"/>
    <w:rsid w:val="0B5E2A33"/>
    <w:rsid w:val="0C1A446B"/>
    <w:rsid w:val="0CC42C4A"/>
    <w:rsid w:val="0CE1020E"/>
    <w:rsid w:val="0CE90D83"/>
    <w:rsid w:val="0D272843"/>
    <w:rsid w:val="0F4628CF"/>
    <w:rsid w:val="0F71729A"/>
    <w:rsid w:val="0F914A2F"/>
    <w:rsid w:val="0FD4292A"/>
    <w:rsid w:val="10863CAA"/>
    <w:rsid w:val="109819C6"/>
    <w:rsid w:val="112F7D4C"/>
    <w:rsid w:val="114C276E"/>
    <w:rsid w:val="129243DD"/>
    <w:rsid w:val="12BB52A2"/>
    <w:rsid w:val="13E76168"/>
    <w:rsid w:val="15855BCE"/>
    <w:rsid w:val="15B71161"/>
    <w:rsid w:val="16795C6E"/>
    <w:rsid w:val="177F6166"/>
    <w:rsid w:val="192B394B"/>
    <w:rsid w:val="196B01BF"/>
    <w:rsid w:val="1A8B0593"/>
    <w:rsid w:val="1C151423"/>
    <w:rsid w:val="1C962C76"/>
    <w:rsid w:val="1D7B096A"/>
    <w:rsid w:val="1D7D134A"/>
    <w:rsid w:val="1DC80A69"/>
    <w:rsid w:val="1E9514A0"/>
    <w:rsid w:val="1F051509"/>
    <w:rsid w:val="1FD72787"/>
    <w:rsid w:val="20AF2A2B"/>
    <w:rsid w:val="20EF1296"/>
    <w:rsid w:val="2161289E"/>
    <w:rsid w:val="21AD5563"/>
    <w:rsid w:val="231A50A3"/>
    <w:rsid w:val="23305048"/>
    <w:rsid w:val="2487307B"/>
    <w:rsid w:val="25101CDA"/>
    <w:rsid w:val="2559103D"/>
    <w:rsid w:val="25685003"/>
    <w:rsid w:val="256C23F4"/>
    <w:rsid w:val="25C97BEE"/>
    <w:rsid w:val="26E41B28"/>
    <w:rsid w:val="281955CF"/>
    <w:rsid w:val="281D195D"/>
    <w:rsid w:val="29266E1A"/>
    <w:rsid w:val="2A044599"/>
    <w:rsid w:val="2A0F7B8F"/>
    <w:rsid w:val="2B05240B"/>
    <w:rsid w:val="2BF4266B"/>
    <w:rsid w:val="2CB371D5"/>
    <w:rsid w:val="2CF3776A"/>
    <w:rsid w:val="2D0C3CF4"/>
    <w:rsid w:val="2D611200"/>
    <w:rsid w:val="2D7F4851"/>
    <w:rsid w:val="30806B9E"/>
    <w:rsid w:val="30B43B75"/>
    <w:rsid w:val="31650772"/>
    <w:rsid w:val="31E9143D"/>
    <w:rsid w:val="33886860"/>
    <w:rsid w:val="34A55F9D"/>
    <w:rsid w:val="34BE33D7"/>
    <w:rsid w:val="35344E80"/>
    <w:rsid w:val="35B83942"/>
    <w:rsid w:val="35DB18E9"/>
    <w:rsid w:val="361A126B"/>
    <w:rsid w:val="36545D30"/>
    <w:rsid w:val="36BF0CFE"/>
    <w:rsid w:val="37671CCB"/>
    <w:rsid w:val="383D10D3"/>
    <w:rsid w:val="39A43E9E"/>
    <w:rsid w:val="3BDD1C9A"/>
    <w:rsid w:val="3C6234CA"/>
    <w:rsid w:val="3D5123A5"/>
    <w:rsid w:val="3E3C3D7F"/>
    <w:rsid w:val="3F0F3FAB"/>
    <w:rsid w:val="3F3D74FE"/>
    <w:rsid w:val="3FBC281F"/>
    <w:rsid w:val="432A1B18"/>
    <w:rsid w:val="43E06BC0"/>
    <w:rsid w:val="450B6A83"/>
    <w:rsid w:val="4537221B"/>
    <w:rsid w:val="45631693"/>
    <w:rsid w:val="480004B0"/>
    <w:rsid w:val="495777FB"/>
    <w:rsid w:val="4AF20173"/>
    <w:rsid w:val="4B0C6E2E"/>
    <w:rsid w:val="4BAE772A"/>
    <w:rsid w:val="4BB17333"/>
    <w:rsid w:val="4C4A7B3B"/>
    <w:rsid w:val="4C4F073F"/>
    <w:rsid w:val="4C8B4D21"/>
    <w:rsid w:val="4CEA1A71"/>
    <w:rsid w:val="4DC3281F"/>
    <w:rsid w:val="4DFC16FF"/>
    <w:rsid w:val="50066CA3"/>
    <w:rsid w:val="504533AC"/>
    <w:rsid w:val="50485D02"/>
    <w:rsid w:val="518B59E0"/>
    <w:rsid w:val="5244176A"/>
    <w:rsid w:val="52622C38"/>
    <w:rsid w:val="541532F3"/>
    <w:rsid w:val="544669FD"/>
    <w:rsid w:val="54F21968"/>
    <w:rsid w:val="550310E3"/>
    <w:rsid w:val="55BB16B6"/>
    <w:rsid w:val="572B3928"/>
    <w:rsid w:val="574F6249"/>
    <w:rsid w:val="57AD74C8"/>
    <w:rsid w:val="58071A1F"/>
    <w:rsid w:val="599B1691"/>
    <w:rsid w:val="5E8575A0"/>
    <w:rsid w:val="5ECC5796"/>
    <w:rsid w:val="606964BC"/>
    <w:rsid w:val="616E24E6"/>
    <w:rsid w:val="619A462F"/>
    <w:rsid w:val="62312A9D"/>
    <w:rsid w:val="63545F00"/>
    <w:rsid w:val="635C21B5"/>
    <w:rsid w:val="64202DC6"/>
    <w:rsid w:val="6841159B"/>
    <w:rsid w:val="687F107F"/>
    <w:rsid w:val="68822004"/>
    <w:rsid w:val="6A6F1DC6"/>
    <w:rsid w:val="6B405AFC"/>
    <w:rsid w:val="6BD8207B"/>
    <w:rsid w:val="6C8C2E23"/>
    <w:rsid w:val="6CA17546"/>
    <w:rsid w:val="6D870634"/>
    <w:rsid w:val="6F7F20D5"/>
    <w:rsid w:val="71D8190B"/>
    <w:rsid w:val="72740C55"/>
    <w:rsid w:val="72F06D27"/>
    <w:rsid w:val="7328385A"/>
    <w:rsid w:val="739065EB"/>
    <w:rsid w:val="73DF11F6"/>
    <w:rsid w:val="73F26EC8"/>
    <w:rsid w:val="74352E35"/>
    <w:rsid w:val="74410750"/>
    <w:rsid w:val="75F21E91"/>
    <w:rsid w:val="761B77D2"/>
    <w:rsid w:val="76880984"/>
    <w:rsid w:val="77E2713E"/>
    <w:rsid w:val="78A07BDA"/>
    <w:rsid w:val="78B64B97"/>
    <w:rsid w:val="7AB46BDC"/>
    <w:rsid w:val="7B5209E2"/>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4">
    <w:name w:val="Body Text Indent"/>
    <w:basedOn w:val="1"/>
    <w:autoRedefine/>
    <w:qFormat/>
    <w:uiPriority w:val="0"/>
    <w:pPr>
      <w:ind w:firstLine="630"/>
    </w:pPr>
    <w:rPr>
      <w:sz w:val="32"/>
      <w:szCs w:val="20"/>
    </w:rPr>
  </w:style>
  <w:style w:type="paragraph" w:styleId="5">
    <w:name w:val="Plain Text"/>
    <w:basedOn w:val="1"/>
    <w:autoRedefine/>
    <w:qFormat/>
    <w:uiPriority w:val="0"/>
    <w:pPr>
      <w:spacing w:line="460" w:lineRule="exact"/>
      <w:ind w:firstLine="567"/>
    </w:pPr>
    <w:rPr>
      <w:rFonts w:ascii="宋体" w:hAnsi="Courier New" w:eastAsia="仿宋_GB2312"/>
      <w:sz w:val="28"/>
      <w:szCs w:val="20"/>
    </w:rPr>
  </w:style>
  <w:style w:type="paragraph" w:styleId="6">
    <w:name w:val="toc 1"/>
    <w:basedOn w:val="1"/>
    <w:next w:val="1"/>
    <w:autoRedefine/>
    <w:qFormat/>
    <w:uiPriority w:val="0"/>
    <w:pPr>
      <w:spacing w:line="180" w:lineRule="auto"/>
      <w:jc w:val="center"/>
    </w:pPr>
    <w:rPr>
      <w:sz w:val="30"/>
    </w:rPr>
  </w:style>
  <w:style w:type="paragraph" w:styleId="7">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99"/>
    <w:rPr>
      <w:sz w:val="21"/>
      <w:szCs w:val="21"/>
    </w:rPr>
  </w:style>
  <w:style w:type="paragraph" w:customStyle="1" w:styleId="14">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GW-正文"/>
    <w:basedOn w:val="1"/>
    <w:autoRedefine/>
    <w:qFormat/>
    <w:uiPriority w:val="0"/>
    <w:pPr>
      <w:spacing w:line="360" w:lineRule="auto"/>
      <w:ind w:firstLine="200" w:firstLineChars="200"/>
    </w:pPr>
    <w:rPr>
      <w:rFonts w:eastAsia="仿宋_GB2312"/>
      <w:sz w:val="24"/>
      <w:szCs w:val="24"/>
    </w:r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2024-02-09T08:17:03Z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796B92C70F0F4764B01F0098AFD1D00F_12</vt:lpwstr>
  </property>
</Properties>
</file>