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pacing w:before="0" w:after="0" w:line="360" w:lineRule="auto"/>
        <w:ind w:firstLine="118" w:firstLineChars="49"/>
        <w:jc w:val="left"/>
        <w:rPr>
          <w:rFonts w:ascii="宋体" w:hAnsi="宋体" w:eastAsia="宋体" w:cs="仿宋"/>
          <w:bCs w:val="0"/>
          <w:sz w:val="24"/>
          <w:szCs w:val="24"/>
        </w:rPr>
      </w:pPr>
      <w:bookmarkStart w:id="0" w:name="_Toc217446094"/>
    </w:p>
    <w:p>
      <w:pPr>
        <w:pStyle w:val="3"/>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一、采购项目编号：SCFY-YXZB202401-005（询）</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二、年度采购预算：</w:t>
      </w:r>
      <w:r>
        <w:rPr>
          <w:rFonts w:hint="eastAsia" w:ascii="宋体" w:hAnsi="宋体" w:eastAsia="宋体" w:cs="仿宋"/>
          <w:sz w:val="24"/>
          <w:szCs w:val="24"/>
          <w:lang w:val="en-US" w:eastAsia="zh-CN"/>
        </w:rPr>
        <w:t>0.32</w:t>
      </w:r>
      <w:r>
        <w:rPr>
          <w:rFonts w:hint="eastAsia" w:ascii="宋体" w:hAnsi="宋体" w:eastAsia="宋体" w:cs="仿宋"/>
          <w:sz w:val="24"/>
          <w:szCs w:val="24"/>
        </w:rPr>
        <w:t>万元/年</w:t>
      </w:r>
    </w:p>
    <w:p>
      <w:pPr>
        <w:pStyle w:val="3"/>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rPr>
        <w:t xml:space="preserve">三、 </w:t>
      </w:r>
      <w:bookmarkEnd w:id="0"/>
      <w:bookmarkStart w:id="1" w:name="_Toc217446095"/>
      <w:r>
        <w:rPr>
          <w:rFonts w:hint="eastAsia" w:ascii="宋体" w:hAnsi="宋体" w:eastAsia="宋体" w:cs="仿宋"/>
          <w:sz w:val="24"/>
          <w:szCs w:val="24"/>
        </w:rPr>
        <w:t>项目清单及技术</w:t>
      </w:r>
      <w:r>
        <w:rPr>
          <w:rFonts w:hint="eastAsia" w:ascii="宋体" w:hAnsi="宋体" w:eastAsia="宋体" w:cs="仿宋"/>
          <w:sz w:val="24"/>
          <w:szCs w:val="24"/>
          <w:lang w:eastAsia="zh-CN"/>
        </w:rPr>
        <w:t>、</w:t>
      </w:r>
      <w:r>
        <w:rPr>
          <w:rFonts w:hint="eastAsia" w:ascii="宋体" w:hAnsi="宋体" w:eastAsia="宋体" w:cs="仿宋"/>
          <w:sz w:val="24"/>
          <w:szCs w:val="24"/>
          <w:lang w:val="en-US" w:eastAsia="zh-CN"/>
        </w:rPr>
        <w:t>商务</w:t>
      </w:r>
      <w:r>
        <w:rPr>
          <w:rFonts w:hint="eastAsia" w:ascii="宋体" w:hAnsi="宋体" w:eastAsia="宋体" w:cs="仿宋"/>
          <w:sz w:val="24"/>
          <w:szCs w:val="24"/>
        </w:rPr>
        <w:t>要求：</w:t>
      </w:r>
    </w:p>
    <w:tbl>
      <w:tblPr>
        <w:tblStyle w:val="12"/>
        <w:tblW w:w="496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91"/>
        <w:gridCol w:w="1248"/>
        <w:gridCol w:w="1248"/>
        <w:gridCol w:w="1401"/>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right"/>
        </w:trPr>
        <w:tc>
          <w:tcPr>
            <w:tcW w:w="362"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98"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630"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630"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707"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2369" w:type="pct"/>
            <w:noWrap w:val="0"/>
            <w:vAlign w:val="center"/>
          </w:tcPr>
          <w:p>
            <w:pPr>
              <w:autoSpaceDE w:val="0"/>
              <w:autoSpaceDN w:val="0"/>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362" w:type="pct"/>
            <w:vMerge w:val="continue"/>
            <w:noWrap w:val="0"/>
            <w:vAlign w:val="center"/>
          </w:tcPr>
          <w:p>
            <w:pPr>
              <w:spacing w:line="420" w:lineRule="exact"/>
              <w:jc w:val="center"/>
              <w:rPr>
                <w:rFonts w:hint="eastAsia" w:cs="宋体"/>
                <w:color w:val="000000"/>
                <w:kern w:val="0"/>
              </w:rPr>
            </w:pPr>
          </w:p>
        </w:tc>
        <w:tc>
          <w:tcPr>
            <w:tcW w:w="298"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630"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lang w:val="en-US" w:eastAsia="zh-CN"/>
              </w:rPr>
              <w:t>一次性体外循环灌注针</w:t>
            </w:r>
          </w:p>
        </w:tc>
        <w:tc>
          <w:tcPr>
            <w:tcW w:w="630"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160元</w:t>
            </w:r>
          </w:p>
        </w:tc>
        <w:tc>
          <w:tcPr>
            <w:tcW w:w="707"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20个</w:t>
            </w:r>
          </w:p>
        </w:tc>
        <w:tc>
          <w:tcPr>
            <w:tcW w:w="2369" w:type="pct"/>
            <w:noWrap w:val="0"/>
            <w:vAlign w:val="top"/>
          </w:tcPr>
          <w:p>
            <w:pPr>
              <w:pStyle w:val="2"/>
              <w:numPr>
                <w:ilvl w:val="0"/>
                <w:numId w:val="0"/>
              </w:numPr>
              <w:rPr>
                <w:rFonts w:hint="eastAsia"/>
                <w:lang w:val="en-US" w:eastAsia="zh-CN"/>
              </w:rPr>
            </w:pPr>
            <w:r>
              <w:rPr>
                <w:rFonts w:hint="eastAsia"/>
              </w:rPr>
              <w:t>▲</w:t>
            </w:r>
            <w:r>
              <w:rPr>
                <w:rFonts w:hint="eastAsia"/>
                <w:lang w:val="en-US" w:eastAsia="zh-CN"/>
              </w:rPr>
              <w:t>用于新生儿及低体重婴幼儿在心脏直视手术中体外循环时心脏停跳及心肌保护时使用。</w:t>
            </w:r>
          </w:p>
          <w:p>
            <w:pPr>
              <w:numPr>
                <w:ilvl w:val="0"/>
                <w:numId w:val="0"/>
              </w:numPr>
              <w:rPr>
                <w:rFonts w:hint="eastAsia"/>
                <w:lang w:val="en-US" w:eastAsia="zh-CN"/>
              </w:rPr>
            </w:pPr>
            <w:r>
              <w:rPr>
                <w:rFonts w:hint="eastAsia"/>
              </w:rPr>
              <w:t>▲</w:t>
            </w:r>
            <w:r>
              <w:rPr>
                <w:rFonts w:hint="eastAsia"/>
                <w:lang w:val="en-US" w:eastAsia="zh-CN"/>
              </w:rPr>
              <w:t>经环氧乙烷灭菌，一次性使用。</w:t>
            </w:r>
          </w:p>
          <w:p>
            <w:pPr>
              <w:pStyle w:val="2"/>
              <w:rPr>
                <w:rFonts w:hint="eastAsia" w:ascii="Times New Roman" w:hAnsi="Times New Roman" w:eastAsia="宋体" w:cs="Times New Roman"/>
              </w:rPr>
            </w:pPr>
          </w:p>
          <w:p>
            <w:pPr>
              <w:pStyle w:val="2"/>
              <w:rPr>
                <w:rFonts w:hint="default"/>
                <w:lang w:val="en-US" w:eastAsia="zh-CN"/>
              </w:rPr>
            </w:pPr>
            <w:r>
              <w:rPr>
                <w:rFonts w:hint="eastAsia" w:ascii="Times New Roman" w:hAnsi="Times New Roman" w:eastAsia="宋体" w:cs="Times New Roman"/>
              </w:rPr>
              <w:t>备注: 以上打▲号的条款为本次招标项目的实质性要求，不允许有负偏离。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right"/>
        </w:trPr>
        <w:tc>
          <w:tcPr>
            <w:tcW w:w="362" w:type="pct"/>
            <w:noWrap w:val="0"/>
            <w:vAlign w:val="center"/>
          </w:tcPr>
          <w:p>
            <w:pPr>
              <w:spacing w:line="420" w:lineRule="exact"/>
              <w:jc w:val="center"/>
              <w:rPr>
                <w:rFonts w:hint="eastAsia" w:cs="宋体"/>
                <w:color w:val="000000"/>
                <w:kern w:val="0"/>
              </w:rPr>
            </w:pPr>
            <w:r>
              <w:rPr>
                <w:rFonts w:hint="eastAsia" w:cs="宋体"/>
                <w:color w:val="000000"/>
                <w:kern w:val="0"/>
              </w:rPr>
              <w:t>商务</w:t>
            </w:r>
          </w:p>
          <w:p>
            <w:pPr>
              <w:spacing w:line="420" w:lineRule="exact"/>
              <w:jc w:val="center"/>
              <w:rPr>
                <w:rFonts w:hint="eastAsia" w:cs="宋体"/>
                <w:color w:val="000000"/>
                <w:kern w:val="0"/>
              </w:rPr>
            </w:pPr>
            <w:r>
              <w:rPr>
                <w:rFonts w:hint="eastAsia" w:cs="宋体"/>
                <w:color w:val="000000"/>
                <w:kern w:val="0"/>
              </w:rPr>
              <w:t>要求</w:t>
            </w:r>
          </w:p>
        </w:tc>
        <w:tc>
          <w:tcPr>
            <w:tcW w:w="4637" w:type="pct"/>
            <w:gridSpan w:val="5"/>
            <w:shd w:val="clear" w:color="auto" w:fill="auto"/>
            <w:noWrap w:val="0"/>
            <w:vAlign w:val="center"/>
          </w:tcPr>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若为Ⅱ、Ⅲ类医疗器械，则</w:t>
            </w:r>
            <w:r>
              <w:rPr>
                <w:rFonts w:hint="eastAsia" w:ascii="Times New Roman" w:hAnsi="Times New Roman" w:eastAsia="宋体" w:cs="Times New Roman"/>
              </w:rPr>
              <w:t>必须为四川省药械集中采购及医药价格监管平台挂网公示产品,并提供挂网商品代码（已经挂网的需要提供集采平台挂网截图）</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供应商的“投标总价”仅做为报价评审依据，最终根据实际需求进行相应调整，结算以实际发生量乘以供应商投标单价结算，且不超过每年的预算总价。</w:t>
            </w:r>
          </w:p>
          <w:p>
            <w:pPr>
              <w:pStyle w:val="2"/>
              <w:rPr>
                <w:rFonts w:hint="eastAsia" w:ascii="宋体" w:hAnsi="宋体" w:cs="Segoe UI"/>
                <w:color w:val="333333"/>
                <w:spacing w:val="8"/>
                <w:kern w:val="0"/>
                <w:sz w:val="18"/>
                <w:szCs w:val="18"/>
              </w:rPr>
            </w:pPr>
            <w:r>
              <w:rPr>
                <w:rFonts w:hint="eastAsia" w:ascii="Times New Roman" w:hAnsi="Times New Roman" w:eastAsia="宋体" w:cs="Times New Roman"/>
              </w:rPr>
              <w:t>备注: 以上打▲号的条款为本次招标项目的实质性要求，不允许有负偏离。</w:t>
            </w:r>
          </w:p>
        </w:tc>
      </w:tr>
    </w:tbl>
    <w:p>
      <w:pPr>
        <w:pStyle w:val="4"/>
        <w:rPr>
          <w:rFonts w:hint="eastAsia" w:ascii="宋体" w:hAnsi="宋体" w:eastAsia="宋体" w:cs="仿宋"/>
          <w:sz w:val="24"/>
          <w:szCs w:val="24"/>
        </w:rPr>
      </w:pPr>
    </w:p>
    <w:p>
      <w:pPr>
        <w:pStyle w:val="4"/>
        <w:rPr>
          <w:rFonts w:hint="eastAsia" w:ascii="宋体" w:hAnsi="宋体" w:eastAsia="宋体" w:cs="仿宋"/>
          <w:sz w:val="24"/>
          <w:szCs w:val="24"/>
        </w:rPr>
      </w:pPr>
    </w:p>
    <w:bookmarkEnd w:id="1"/>
    <w:p>
      <w:pPr>
        <w:widowControl/>
        <w:spacing w:line="360" w:lineRule="auto"/>
        <w:jc w:val="left"/>
        <w:rPr>
          <w:rFonts w:ascii="宋体" w:hAnsi="宋体" w:eastAsia="宋体" w:cs="Segoe UI"/>
          <w:b/>
          <w:bCs/>
          <w:kern w:val="0"/>
          <w:sz w:val="28"/>
          <w:szCs w:val="28"/>
        </w:rPr>
      </w:pPr>
      <w:bookmarkStart w:id="2" w:name="_GoBack"/>
      <w:bookmarkEnd w:id="2"/>
    </w:p>
    <w:p>
      <w:pPr>
        <w:rPr>
          <w:rFonts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r>
        <w:rPr>
          <w:rFonts w:hint="eastAsia" w:ascii="仿宋" w:hAnsi="仿宋" w:eastAsia="仿宋" w:cs="仿宋"/>
          <w:w w:val="95"/>
        </w:rPr>
        <w:t>承诺函</w:t>
      </w:r>
    </w:p>
    <w:p>
      <w:pPr>
        <w:spacing w:line="360" w:lineRule="auto"/>
        <w:outlineLvl w:val="1"/>
        <w:rPr>
          <w:rFonts w:hint="eastAsia" w:ascii="仿宋" w:hAnsi="仿宋" w:eastAsia="仿宋" w:cs="仿宋"/>
          <w:sz w:val="22"/>
        </w:rPr>
      </w:pPr>
      <w:r>
        <w:rPr>
          <w:rFonts w:hint="eastAsia" w:ascii="仿宋" w:hAnsi="仿宋" w:eastAsia="仿宋" w:cs="仿宋"/>
          <w:sz w:val="22"/>
        </w:rPr>
        <w:t>致：</w:t>
      </w:r>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p>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日    期：</w:t>
      </w: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六、采购物资名称：</w:t>
      </w:r>
      <w:r>
        <w:rPr>
          <w:rFonts w:hint="eastAsia" w:ascii="仿宋_GB2312" w:hAnsi="Segoe UI" w:eastAsia="仿宋_GB2312" w:cs="Segoe UI"/>
          <w:color w:val="000000" w:themeColor="text1"/>
          <w:kern w:val="0"/>
          <w:sz w:val="24"/>
          <w:szCs w:val="24"/>
          <w:u w:val="single"/>
          <w:lang w:val="en-US" w:eastAsia="zh-CN"/>
        </w:rPr>
        <w:t xml:space="preserve">                      </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46E5"/>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D7F0F"/>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0E95"/>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2921"/>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32915"/>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E30BD"/>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0E1F"/>
    <w:rsid w:val="00DB3F6C"/>
    <w:rsid w:val="00DC3AB1"/>
    <w:rsid w:val="00DC4C36"/>
    <w:rsid w:val="00DE14EC"/>
    <w:rsid w:val="00DE31ED"/>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7FA54F3"/>
    <w:rsid w:val="195D2073"/>
    <w:rsid w:val="2DB74145"/>
    <w:rsid w:val="34C1527C"/>
    <w:rsid w:val="34E74E35"/>
    <w:rsid w:val="364F4E7F"/>
    <w:rsid w:val="365344A5"/>
    <w:rsid w:val="411D3A60"/>
    <w:rsid w:val="439F78E1"/>
    <w:rsid w:val="4E962B3B"/>
    <w:rsid w:val="51CB3FD0"/>
    <w:rsid w:val="5536063D"/>
    <w:rsid w:val="62FA0171"/>
    <w:rsid w:val="65C660EF"/>
    <w:rsid w:val="6C3D2985"/>
    <w:rsid w:val="701306BF"/>
    <w:rsid w:val="75233D75"/>
    <w:rsid w:val="78BA1DAC"/>
    <w:rsid w:val="7BAB50CE"/>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6"/>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link w:val="25"/>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NormalCharacter"/>
    <w:qFormat/>
    <w:uiPriority w:val="0"/>
  </w:style>
  <w:style w:type="character" w:customStyle="1" w:styleId="25">
    <w:name w:val="正文文本缩进 2 Char"/>
    <w:basedOn w:val="14"/>
    <w:link w:val="6"/>
    <w:semiHidden/>
    <w:qFormat/>
    <w:uiPriority w:val="99"/>
    <w:rPr>
      <w:rFonts w:asciiTheme="minorHAnsi" w:hAnsiTheme="minorHAnsi" w:eastAsiaTheme="minorEastAsia" w:cstheme="minorBidi"/>
      <w:kern w:val="2"/>
      <w:sz w:val="21"/>
      <w:szCs w:val="22"/>
    </w:rPr>
  </w:style>
  <w:style w:type="character" w:customStyle="1" w:styleId="26">
    <w:name w:val="正文文本 Char"/>
    <w:basedOn w:val="14"/>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A8A53-B26B-4B29-A513-F392F504E0E9}">
  <ds:schemaRefs/>
</ds:datastoreItem>
</file>

<file path=docProps/app.xml><?xml version="1.0" encoding="utf-8"?>
<Properties xmlns="http://schemas.openxmlformats.org/officeDocument/2006/extended-properties" xmlns:vt="http://schemas.openxmlformats.org/officeDocument/2006/docPropsVTypes">
  <Template>Normal</Template>
  <Pages>11</Pages>
  <Words>908</Words>
  <Characters>5182</Characters>
  <Lines>43</Lines>
  <Paragraphs>12</Paragraphs>
  <TotalTime>1</TotalTime>
  <ScaleCrop>false</ScaleCrop>
  <LinksUpToDate>false</LinksUpToDate>
  <CharactersWithSpaces>6078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2024-02-18T09:06:15Z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