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采购项目编号：SCFY-YXZB202402-002（磋）</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2.52万元/年</w:t>
      </w:r>
    </w:p>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r>
        <w:rPr>
          <w:rFonts w:hint="eastAsia" w:ascii="宋体" w:hAnsi="宋体" w:eastAsia="宋体" w:cs="仿宋"/>
          <w:sz w:val="24"/>
          <w:szCs w:val="24"/>
        </w:rPr>
        <w:t>项目清单及技术要求：</w:t>
      </w:r>
    </w:p>
    <w:bookmarkEnd w:id="0"/>
    <w:tbl>
      <w:tblPr>
        <w:tblStyle w:val="12"/>
        <w:tblpPr w:leftFromText="180" w:rightFromText="180" w:vertAnchor="text" w:horzAnchor="page" w:tblpXSpec="center" w:tblpY="454"/>
        <w:tblOverlap w:val="never"/>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78"/>
        <w:gridCol w:w="1014"/>
        <w:gridCol w:w="1135"/>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13" w:type="pct"/>
            <w:noWrap w:val="0"/>
            <w:vAlign w:val="center"/>
          </w:tcPr>
          <w:p>
            <w:pPr>
              <w:autoSpaceDE w:val="0"/>
              <w:autoSpaceDN w:val="0"/>
              <w:jc w:val="right"/>
              <w:rPr>
                <w:rFonts w:ascii="宋体" w:hAnsi="宋体"/>
                <w:b/>
                <w:sz w:val="18"/>
                <w:szCs w:val="18"/>
              </w:rPr>
            </w:pPr>
            <w:bookmarkStart w:id="1" w:name="_Toc217446095"/>
            <w:r>
              <w:rPr>
                <w:rFonts w:hint="eastAsia" w:ascii="宋体" w:hAnsi="宋体"/>
                <w:b/>
                <w:sz w:val="18"/>
                <w:szCs w:val="18"/>
              </w:rPr>
              <w:t>序号</w:t>
            </w:r>
          </w:p>
        </w:tc>
        <w:tc>
          <w:tcPr>
            <w:tcW w:w="927"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529"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592"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638"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13"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927" w:type="pct"/>
            <w:noWrap w:val="0"/>
            <w:vAlign w:val="center"/>
          </w:tcPr>
          <w:p>
            <w:pPr>
              <w:widowControl/>
              <w:jc w:val="center"/>
              <w:textAlignment w:val="center"/>
              <w:rPr>
                <w:rFonts w:hint="default" w:ascii="宋体" w:hAnsi="宋体" w:eastAsia="宋体"/>
                <w:lang w:val="en-US" w:eastAsia="zh-CN"/>
              </w:rPr>
            </w:pPr>
            <w:r>
              <w:rPr>
                <w:rFonts w:hint="default" w:ascii="宋体" w:hAnsi="宋体" w:eastAsia="宋体"/>
                <w:lang w:val="en-US" w:eastAsia="zh-CN"/>
              </w:rPr>
              <w:t>末梢采血用敷贴</w:t>
            </w:r>
          </w:p>
        </w:tc>
        <w:tc>
          <w:tcPr>
            <w:tcW w:w="529"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2.8元</w:t>
            </w:r>
          </w:p>
        </w:tc>
        <w:tc>
          <w:tcPr>
            <w:tcW w:w="592"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9000张</w:t>
            </w:r>
          </w:p>
        </w:tc>
        <w:tc>
          <w:tcPr>
            <w:tcW w:w="2638" w:type="pct"/>
            <w:noWrap w:val="0"/>
            <w:vAlign w:val="top"/>
          </w:tcPr>
          <w:p>
            <w:pPr>
              <w:rPr>
                <w:rFonts w:hint="eastAsia"/>
                <w:lang w:val="en-US" w:eastAsia="zh-CN"/>
              </w:rPr>
            </w:pPr>
            <w:r>
              <w:rPr>
                <w:rFonts w:hint="eastAsia"/>
                <w:lang w:val="en-US" w:eastAsia="zh-CN"/>
              </w:rPr>
              <w:t>用途：</w:t>
            </w:r>
            <w:r>
              <w:rPr>
                <w:rFonts w:hint="default"/>
                <w:lang w:val="en-US" w:eastAsia="zh-CN"/>
              </w:rPr>
              <w:t>适用于采血后覆盖针孔</w:t>
            </w:r>
            <w:r>
              <w:rPr>
                <w:rFonts w:hint="eastAsia"/>
                <w:lang w:val="en-US" w:eastAsia="zh-CN"/>
              </w:rPr>
              <w:t>。</w:t>
            </w:r>
          </w:p>
          <w:p>
            <w:pPr>
              <w:numPr>
                <w:ilvl w:val="0"/>
                <w:numId w:val="2"/>
              </w:numPr>
              <w:rPr>
                <w:rFonts w:hint="default"/>
                <w:lang w:val="en-US" w:eastAsia="zh-CN"/>
              </w:rPr>
            </w:pPr>
            <w:r>
              <w:rPr>
                <w:rFonts w:hint="eastAsia" w:cs="Times New Roman"/>
                <w:lang w:val="en-US" w:eastAsia="zh-CN"/>
              </w:rPr>
              <w:t>无菌，一次性使用。</w:t>
            </w:r>
          </w:p>
          <w:p>
            <w:pPr>
              <w:numPr>
                <w:ilvl w:val="0"/>
                <w:numId w:val="2"/>
              </w:numPr>
              <w:ind w:left="0" w:leftChars="0" w:firstLine="0" w:firstLineChars="0"/>
              <w:rPr>
                <w:rFonts w:hint="default"/>
                <w:lang w:val="en-US" w:eastAsia="zh-CN"/>
              </w:rPr>
            </w:pPr>
            <w:r>
              <w:rPr>
                <w:rFonts w:hint="default"/>
                <w:lang w:val="en-US" w:eastAsia="zh-CN"/>
              </w:rPr>
              <w:t>低致敏医用压敏胶，安全可靠。</w:t>
            </w:r>
          </w:p>
          <w:p>
            <w:pPr>
              <w:pStyle w:val="2"/>
              <w:numPr>
                <w:ilvl w:val="0"/>
                <w:numId w:val="2"/>
              </w:numPr>
              <w:ind w:left="0" w:leftChars="0" w:firstLine="0" w:firstLineChars="0"/>
              <w:rPr>
                <w:rFonts w:hint="default"/>
                <w:lang w:val="en-US" w:eastAsia="zh-CN"/>
              </w:rPr>
            </w:pPr>
            <w:r>
              <w:rPr>
                <w:rFonts w:hint="eastAsia"/>
                <w:lang w:val="en-US" w:eastAsia="zh-CN"/>
              </w:rPr>
              <w:t>粘贴后不易脱落。</w:t>
            </w:r>
          </w:p>
          <w:p>
            <w:pPr>
              <w:pStyle w:val="2"/>
              <w:numPr>
                <w:ilvl w:val="0"/>
                <w:numId w:val="2"/>
              </w:numPr>
              <w:ind w:left="0" w:leftChars="0" w:firstLine="0" w:firstLineChars="0"/>
              <w:rPr>
                <w:rFonts w:hint="default"/>
                <w:lang w:val="en-US" w:eastAsia="zh-CN"/>
              </w:rPr>
            </w:pPr>
            <w:r>
              <w:rPr>
                <w:rFonts w:hint="eastAsia"/>
                <w:lang w:val="en-US" w:eastAsia="zh-CN"/>
              </w:rPr>
              <w:t>长×宽≤3cm。</w:t>
            </w:r>
          </w:p>
          <w:p>
            <w:pPr>
              <w:rPr>
                <w:rFonts w:hint="default"/>
                <w:lang w:val="en-US" w:eastAsia="zh-CN"/>
              </w:rPr>
            </w:pPr>
            <w:r>
              <w:rPr>
                <w:rFonts w:hint="eastAsia"/>
                <w:lang w:val="en-US" w:eastAsia="zh-CN"/>
              </w:rPr>
              <w:t>5.独立最小包装≤10贴。</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pStyle w:val="2"/>
        <w:rPr>
          <w:rFonts w:hint="eastAsia" w:ascii="Times New Roman" w:hAnsi="Times New Roman" w:eastAsia="宋体" w:cs="Times New Roman"/>
        </w:rPr>
      </w:pP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490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48"/>
        <w:gridCol w:w="651"/>
        <w:gridCol w:w="4369"/>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32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689"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3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23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41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right"/>
        </w:trPr>
        <w:tc>
          <w:tcPr>
            <w:tcW w:w="326"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689"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33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234"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1416" w:type="pct"/>
            <w:noWrap w:val="0"/>
            <w:vAlign w:val="center"/>
          </w:tcPr>
          <w:p>
            <w:pPr>
              <w:widowControl/>
              <w:numPr>
                <w:ilvl w:val="0"/>
                <w:numId w:val="3"/>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3"/>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37" w:hRule="atLeast"/>
          <w:jc w:val="right"/>
        </w:trPr>
        <w:tc>
          <w:tcPr>
            <w:tcW w:w="326"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689"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33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234"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分；非“★”条款技术参数不满足招标文件要求（负偏离），一次扣</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1416" w:type="pct"/>
            <w:noWrap w:val="0"/>
            <w:vAlign w:val="center"/>
          </w:tcPr>
          <w:p>
            <w:pPr>
              <w:widowControl/>
              <w:wordWrap w:val="0"/>
              <w:spacing w:line="270" w:lineRule="atLeast"/>
              <w:jc w:val="left"/>
              <w:rPr>
                <w:rFonts w:ascii="宋体" w:hAnsi="宋体" w:cs="Segoe UI"/>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right"/>
        </w:trPr>
        <w:tc>
          <w:tcPr>
            <w:tcW w:w="32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689"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r>
              <w:rPr>
                <w:rFonts w:hint="eastAsia" w:ascii="宋体" w:hAnsi="宋体" w:cs="Segoe UI"/>
                <w:color w:val="000000"/>
                <w:kern w:val="0"/>
                <w:sz w:val="18"/>
                <w:szCs w:val="18"/>
              </w:rPr>
              <w:t>%</w:t>
            </w:r>
          </w:p>
        </w:tc>
        <w:tc>
          <w:tcPr>
            <w:tcW w:w="332"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p>
        </w:tc>
        <w:tc>
          <w:tcPr>
            <w:tcW w:w="2234"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根据响应产品样品及产品说明书，从样品的外观、材质、性能3个方面进行评价，每有1个方面不符合临床需求的扣4分，扣完为止。未提供或提供不全本项不得分。</w:t>
            </w:r>
          </w:p>
        </w:tc>
        <w:tc>
          <w:tcPr>
            <w:tcW w:w="1416"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5" w:hRule="atLeast"/>
          <w:jc w:val="right"/>
        </w:trPr>
        <w:tc>
          <w:tcPr>
            <w:tcW w:w="326"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689"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33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10</w:t>
            </w:r>
          </w:p>
        </w:tc>
        <w:tc>
          <w:tcPr>
            <w:tcW w:w="2234"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416"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2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689"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332"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2234"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1416" w:type="pct"/>
            <w:noWrap w:val="0"/>
            <w:vAlign w:val="center"/>
          </w:tcPr>
          <w:p>
            <w:pPr>
              <w:wordWrap w:val="0"/>
              <w:jc w:val="left"/>
              <w:rPr>
                <w:rFonts w:ascii="宋体" w:hAnsi="宋体" w:cs="Segoe UI"/>
                <w:color w:val="000000"/>
                <w:kern w:val="0"/>
                <w:sz w:val="18"/>
                <w:szCs w:val="18"/>
                <w:lang w:val="en-US" w:eastAsia="zh-CN" w:bidi="ar-SA"/>
              </w:rPr>
            </w:pPr>
          </w:p>
        </w:tc>
      </w:tr>
    </w:tbl>
    <w:p>
      <w:pPr>
        <w:pStyle w:val="2"/>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9234"/>
      <w:bookmarkStart w:id="3" w:name="_Toc3414"/>
      <w:bookmarkStart w:id="4" w:name="_Toc21163"/>
      <w:bookmarkStart w:id="5" w:name="_Toc15614"/>
      <w:bookmarkStart w:id="6" w:name="_Toc21676"/>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1076"/>
      <w:bookmarkStart w:id="8" w:name="_Toc5499"/>
      <w:bookmarkStart w:id="9" w:name="_Toc10689"/>
      <w:bookmarkStart w:id="10" w:name="_Toc5208"/>
      <w:bookmarkStart w:id="11" w:name="_Toc60"/>
      <w:bookmarkStart w:id="12" w:name="_Toc12490"/>
      <w:bookmarkStart w:id="13" w:name="_Toc30494"/>
      <w:bookmarkStart w:id="14" w:name="_Toc30275"/>
      <w:bookmarkStart w:id="15" w:name="_Toc14802"/>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948"/>
      <w:bookmarkStart w:id="17" w:name="_Toc7067"/>
      <w:bookmarkStart w:id="18" w:name="_Toc9131"/>
      <w:bookmarkStart w:id="19" w:name="_Toc3912"/>
      <w:bookmarkStart w:id="20" w:name="_Toc26481"/>
      <w:bookmarkStart w:id="21" w:name="_Toc28103"/>
      <w:bookmarkStart w:id="22" w:name="_Toc13021"/>
      <w:bookmarkStart w:id="23" w:name="_Toc30724"/>
      <w:bookmarkStart w:id="24" w:name="_Toc10183"/>
      <w:bookmarkStart w:id="25" w:name="_Toc3081"/>
      <w:bookmarkStart w:id="26" w:name="_Toc32214"/>
      <w:bookmarkStart w:id="27" w:name="_Toc3447"/>
      <w:bookmarkStart w:id="28" w:name="_Toc18513"/>
      <w:bookmarkStart w:id="29" w:name="_Toc18879"/>
      <w:bookmarkStart w:id="30" w:name="_Toc3392"/>
      <w:bookmarkStart w:id="31" w:name="_Toc19115"/>
      <w:bookmarkStart w:id="32" w:name="_Toc8717"/>
      <w:bookmarkStart w:id="33" w:name="_Toc30080"/>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920"/>
      <w:bookmarkStart w:id="35" w:name="_Toc23645"/>
      <w:bookmarkStart w:id="36" w:name="_Toc18259"/>
      <w:bookmarkStart w:id="37" w:name="_Toc7249"/>
      <w:bookmarkStart w:id="38" w:name="_Toc10142"/>
      <w:bookmarkStart w:id="39" w:name="_Toc22795"/>
      <w:bookmarkStart w:id="40" w:name="_Toc30649"/>
      <w:bookmarkStart w:id="41" w:name="_Toc9042"/>
      <w:bookmarkStart w:id="42" w:name="_Toc15196"/>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5516"/>
      <w:bookmarkStart w:id="46" w:name="_Toc30083"/>
      <w:bookmarkStart w:id="47" w:name="_Toc24117"/>
      <w:bookmarkStart w:id="48" w:name="_Toc3004"/>
      <w:bookmarkStart w:id="49" w:name="_Toc19600"/>
      <w:bookmarkStart w:id="50" w:name="_Toc26548"/>
      <w:bookmarkStart w:id="51" w:name="_Toc21988"/>
      <w:bookmarkStart w:id="52" w:name="_Toc4775"/>
      <w:bookmarkStart w:id="53" w:name="_Toc353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1982"/>
      <w:bookmarkStart w:id="55" w:name="_Toc12333"/>
      <w:bookmarkStart w:id="56" w:name="_Toc32166"/>
      <w:bookmarkStart w:id="57" w:name="_Toc691"/>
      <w:bookmarkStart w:id="58" w:name="_Toc16666"/>
      <w:bookmarkStart w:id="59" w:name="_Toc27376"/>
      <w:bookmarkStart w:id="60" w:name="_Toc16764"/>
      <w:bookmarkStart w:id="61" w:name="_Toc3494"/>
      <w:bookmarkStart w:id="62" w:name="_Toc14887"/>
      <w:bookmarkStart w:id="63" w:name="_Toc23192"/>
      <w:bookmarkStart w:id="64" w:name="_Toc22198"/>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1914"/>
      <w:bookmarkStart w:id="66" w:name="_Toc25068"/>
      <w:bookmarkStart w:id="67" w:name="_Toc5412"/>
      <w:bookmarkStart w:id="68" w:name="_Toc31581"/>
      <w:bookmarkStart w:id="69" w:name="_Toc1371"/>
      <w:bookmarkStart w:id="70" w:name="_Toc4577"/>
      <w:bookmarkStart w:id="71" w:name="_Toc3943"/>
      <w:bookmarkStart w:id="72" w:name="_Toc22606"/>
      <w:bookmarkStart w:id="73" w:name="_Toc10013"/>
      <w:bookmarkStart w:id="74" w:name="_Toc9263"/>
      <w:bookmarkStart w:id="75" w:name="_Toc14269"/>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0600"/>
      <w:bookmarkStart w:id="77" w:name="_Toc31890"/>
      <w:bookmarkStart w:id="78" w:name="_Toc18935"/>
      <w:bookmarkStart w:id="79" w:name="_Toc3908"/>
      <w:bookmarkStart w:id="80" w:name="_Toc13267"/>
      <w:bookmarkStart w:id="81" w:name="_Toc2937"/>
      <w:bookmarkStart w:id="82" w:name="_Toc29190"/>
      <w:bookmarkStart w:id="83" w:name="_Toc2316"/>
      <w:bookmarkStart w:id="84" w:name="_Toc17108"/>
      <w:bookmarkStart w:id="85" w:name="_Toc13677"/>
      <w:bookmarkStart w:id="86" w:name="_Toc11489"/>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31638"/>
      <w:bookmarkStart w:id="88" w:name="_Toc32365"/>
      <w:bookmarkStart w:id="89" w:name="_Toc26756"/>
      <w:bookmarkStart w:id="90" w:name="_Toc21351"/>
      <w:bookmarkStart w:id="91" w:name="_Toc15916"/>
      <w:bookmarkStart w:id="92" w:name="_Toc12088"/>
      <w:bookmarkStart w:id="93" w:name="_Toc24122"/>
      <w:bookmarkStart w:id="94" w:name="_Toc14252"/>
      <w:bookmarkStart w:id="95" w:name="_Toc1313"/>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7985"/>
      <w:bookmarkStart w:id="98" w:name="_Toc19589"/>
      <w:bookmarkStart w:id="99" w:name="_Toc27948"/>
      <w:bookmarkStart w:id="100" w:name="_Toc11278"/>
      <w:bookmarkStart w:id="101" w:name="_Toc29215"/>
      <w:bookmarkStart w:id="102" w:name="_Toc15894"/>
      <w:bookmarkStart w:id="103" w:name="_Toc26609"/>
      <w:bookmarkStart w:id="104" w:name="_Toc10583"/>
      <w:bookmarkStart w:id="105" w:name="_Toc23212"/>
      <w:bookmarkStart w:id="106" w:name="_Toc15083"/>
      <w:bookmarkStart w:id="107" w:name="_Toc18046"/>
      <w:bookmarkStart w:id="108" w:name="_Toc22760"/>
      <w:bookmarkStart w:id="109" w:name="_Toc939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7767"/>
      <w:bookmarkStart w:id="111" w:name="_Toc29648"/>
      <w:bookmarkStart w:id="112" w:name="_Toc17204"/>
      <w:bookmarkStart w:id="113" w:name="_Toc24655"/>
      <w:bookmarkStart w:id="114" w:name="_Toc8940"/>
      <w:bookmarkStart w:id="115" w:name="_Toc24107"/>
      <w:bookmarkStart w:id="116" w:name="_Toc17741"/>
      <w:bookmarkStart w:id="117" w:name="_Toc757"/>
      <w:bookmarkStart w:id="118" w:name="_Toc8348"/>
      <w:bookmarkStart w:id="119" w:name="_Toc4116"/>
      <w:bookmarkStart w:id="120" w:name="_Toc8083"/>
      <w:bookmarkStart w:id="121" w:name="_Toc24671"/>
      <w:bookmarkStart w:id="122" w:name="_Toc1454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2682"/>
      <w:bookmarkStart w:id="124" w:name="_Toc10950"/>
      <w:bookmarkStart w:id="125" w:name="_Toc8524"/>
      <w:bookmarkStart w:id="126" w:name="_Toc15917"/>
      <w:bookmarkStart w:id="127" w:name="_Toc22243"/>
      <w:bookmarkStart w:id="128" w:name="_Toc2003"/>
      <w:bookmarkStart w:id="129" w:name="_Toc14781"/>
      <w:bookmarkStart w:id="130" w:name="_Toc20745"/>
      <w:bookmarkStart w:id="131" w:name="_Toc10945"/>
      <w:bookmarkStart w:id="132" w:name="_Toc10308"/>
      <w:bookmarkStart w:id="133" w:name="_Toc5840"/>
      <w:bookmarkStart w:id="134" w:name="_Toc2428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eastAsia"/>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bookmarkStart w:id="135" w:name="_GoBack"/>
      <w:bookmarkEnd w:id="135"/>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FZXBSJW--GB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47685AD7"/>
    <w:multiLevelType w:val="singleLevel"/>
    <w:tmpl w:val="47685AD7"/>
    <w:lvl w:ilvl="0" w:tentative="0">
      <w:start w:val="1"/>
      <w:numFmt w:val="decimal"/>
      <w:suff w:val="space"/>
      <w:lvlText w:val="%1."/>
      <w:lvlJc w:val="left"/>
    </w:lvl>
  </w:abstractNum>
  <w:abstractNum w:abstractNumId="2">
    <w:nsid w:val="51016291"/>
    <w:multiLevelType w:val="singleLevel"/>
    <w:tmpl w:val="5101629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62C6"/>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29E52CF"/>
    <w:rsid w:val="07953CAB"/>
    <w:rsid w:val="07B925A7"/>
    <w:rsid w:val="0BF815CE"/>
    <w:rsid w:val="0C6266C1"/>
    <w:rsid w:val="0C716207"/>
    <w:rsid w:val="0E911C5D"/>
    <w:rsid w:val="0FD06917"/>
    <w:rsid w:val="103C350A"/>
    <w:rsid w:val="104656F7"/>
    <w:rsid w:val="109013FD"/>
    <w:rsid w:val="10954EC2"/>
    <w:rsid w:val="12A81059"/>
    <w:rsid w:val="14456F80"/>
    <w:rsid w:val="15445F77"/>
    <w:rsid w:val="17CD0B1C"/>
    <w:rsid w:val="195D2073"/>
    <w:rsid w:val="1A37043E"/>
    <w:rsid w:val="2262170C"/>
    <w:rsid w:val="228C2840"/>
    <w:rsid w:val="25644C9D"/>
    <w:rsid w:val="272816FC"/>
    <w:rsid w:val="27C42904"/>
    <w:rsid w:val="28203DA9"/>
    <w:rsid w:val="2E8A7141"/>
    <w:rsid w:val="307D687A"/>
    <w:rsid w:val="33BC6502"/>
    <w:rsid w:val="357C4381"/>
    <w:rsid w:val="364F4E7F"/>
    <w:rsid w:val="365344A5"/>
    <w:rsid w:val="396510AC"/>
    <w:rsid w:val="3B4C1295"/>
    <w:rsid w:val="3D2B34C1"/>
    <w:rsid w:val="3ED3727D"/>
    <w:rsid w:val="405F3E1B"/>
    <w:rsid w:val="40EE5E6B"/>
    <w:rsid w:val="41065270"/>
    <w:rsid w:val="41EE0E8D"/>
    <w:rsid w:val="44DA14CD"/>
    <w:rsid w:val="486E11CC"/>
    <w:rsid w:val="48983A5D"/>
    <w:rsid w:val="4A5E7EC0"/>
    <w:rsid w:val="4AE36A9A"/>
    <w:rsid w:val="4B7A520A"/>
    <w:rsid w:val="4EE10A0C"/>
    <w:rsid w:val="511B173F"/>
    <w:rsid w:val="51CB3FD0"/>
    <w:rsid w:val="54407E70"/>
    <w:rsid w:val="5536063D"/>
    <w:rsid w:val="55B75F0E"/>
    <w:rsid w:val="55F211D3"/>
    <w:rsid w:val="577B25E6"/>
    <w:rsid w:val="58535569"/>
    <w:rsid w:val="5C452678"/>
    <w:rsid w:val="5C5C1607"/>
    <w:rsid w:val="5C7C0F06"/>
    <w:rsid w:val="5FEC0FA4"/>
    <w:rsid w:val="61DB5EE7"/>
    <w:rsid w:val="62FA0171"/>
    <w:rsid w:val="637366D0"/>
    <w:rsid w:val="63E72E68"/>
    <w:rsid w:val="64ED5044"/>
    <w:rsid w:val="65C660EF"/>
    <w:rsid w:val="65DA011F"/>
    <w:rsid w:val="66D20681"/>
    <w:rsid w:val="672843F4"/>
    <w:rsid w:val="69EF0691"/>
    <w:rsid w:val="6A052BEC"/>
    <w:rsid w:val="6A38583D"/>
    <w:rsid w:val="6C0F1984"/>
    <w:rsid w:val="6C3C2942"/>
    <w:rsid w:val="6CAC0A51"/>
    <w:rsid w:val="6CF82393"/>
    <w:rsid w:val="701306BF"/>
    <w:rsid w:val="710D63F2"/>
    <w:rsid w:val="71C813F5"/>
    <w:rsid w:val="71D57369"/>
    <w:rsid w:val="732B1655"/>
    <w:rsid w:val="74D66230"/>
    <w:rsid w:val="75233D75"/>
    <w:rsid w:val="77490A08"/>
    <w:rsid w:val="78BA1DAC"/>
    <w:rsid w:val="799A6260"/>
    <w:rsid w:val="7AA159BD"/>
    <w:rsid w:val="7B777280"/>
    <w:rsid w:val="7BC74393"/>
    <w:rsid w:val="7DFC578F"/>
    <w:rsid w:val="7EE24117"/>
    <w:rsid w:val="7F350078"/>
    <w:rsid w:val="7FA7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5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2024-02-28T06:55:51Z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