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bookmarkStart w:id="135" w:name="_GoBack"/>
      <w:bookmarkEnd w:id="135"/>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采购项目名称：玻片柜、蜡片柜院内采购</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3.2万元/年</w:t>
      </w:r>
    </w:p>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r>
        <w:rPr>
          <w:rFonts w:hint="eastAsia" w:ascii="宋体" w:hAnsi="宋体" w:eastAsia="宋体" w:cs="仿宋"/>
          <w:sz w:val="24"/>
          <w:szCs w:val="24"/>
        </w:rPr>
        <w:t>项目清单及技术要求：</w:t>
      </w:r>
    </w:p>
    <w:bookmarkEnd w:id="0"/>
    <w:tbl>
      <w:tblPr>
        <w:tblStyle w:val="12"/>
        <w:tblpPr w:leftFromText="180" w:rightFromText="180" w:vertAnchor="text" w:horzAnchor="page" w:tblpXSpec="center" w:tblpY="454"/>
        <w:tblOverlap w:val="never"/>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47"/>
        <w:gridCol w:w="1186"/>
        <w:gridCol w:w="1065"/>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13" w:type="pct"/>
            <w:noWrap w:val="0"/>
            <w:vAlign w:val="center"/>
          </w:tcPr>
          <w:p>
            <w:pPr>
              <w:autoSpaceDE w:val="0"/>
              <w:autoSpaceDN w:val="0"/>
              <w:jc w:val="right"/>
              <w:rPr>
                <w:rFonts w:ascii="宋体" w:hAnsi="宋体"/>
                <w:b/>
                <w:sz w:val="18"/>
                <w:szCs w:val="18"/>
              </w:rPr>
            </w:pPr>
            <w:bookmarkStart w:id="1" w:name="_Toc217446095"/>
            <w:r>
              <w:rPr>
                <w:rFonts w:hint="eastAsia" w:ascii="宋体" w:hAnsi="宋体"/>
                <w:b/>
                <w:sz w:val="18"/>
                <w:szCs w:val="18"/>
              </w:rPr>
              <w:t>序号</w:t>
            </w:r>
          </w:p>
        </w:tc>
        <w:tc>
          <w:tcPr>
            <w:tcW w:w="546"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619"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556"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964"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13"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546" w:type="pct"/>
            <w:noWrap w:val="0"/>
            <w:vAlign w:val="center"/>
          </w:tcPr>
          <w:p>
            <w:pPr>
              <w:spacing w:line="360" w:lineRule="exact"/>
              <w:jc w:val="center"/>
              <w:rPr>
                <w:rFonts w:hint="default" w:ascii="宋体" w:hAnsi="宋体" w:eastAsia="宋体"/>
                <w:lang w:val="en-US" w:eastAsia="zh-CN"/>
              </w:rPr>
            </w:pPr>
            <w:r>
              <w:rPr>
                <w:rFonts w:hint="eastAsia" w:ascii="宋体" w:hAnsi="宋体" w:eastAsia="宋体" w:cs="Times New Roman"/>
                <w:bCs/>
                <w:lang w:val="en-US" w:eastAsia="zh-CN"/>
              </w:rPr>
              <w:t>玻片柜</w:t>
            </w:r>
          </w:p>
        </w:tc>
        <w:tc>
          <w:tcPr>
            <w:tcW w:w="619" w:type="pct"/>
            <w:noWrap w:val="0"/>
            <w:vAlign w:val="center"/>
          </w:tcPr>
          <w:p>
            <w:pPr>
              <w:jc w:val="center"/>
              <w:rPr>
                <w:rFonts w:hint="default" w:ascii="宋体" w:hAnsi="宋体" w:cs="宋体"/>
                <w:color w:val="000000"/>
                <w:kern w:val="2"/>
                <w:sz w:val="21"/>
                <w:szCs w:val="21"/>
                <w:lang w:val="en-US" w:eastAsia="zh-CN" w:bidi="ar-SA"/>
              </w:rPr>
            </w:pPr>
            <w:r>
              <w:rPr>
                <w:rFonts w:hint="eastAsia" w:ascii="宋体" w:hAnsi="宋体"/>
                <w:lang w:val="en-US" w:eastAsia="zh-CN"/>
              </w:rPr>
              <w:t>800</w:t>
            </w:r>
            <w:r>
              <w:rPr>
                <w:rFonts w:hint="eastAsia" w:ascii="宋体" w:hAnsi="宋体"/>
              </w:rPr>
              <w:t>元</w:t>
            </w:r>
          </w:p>
        </w:tc>
        <w:tc>
          <w:tcPr>
            <w:tcW w:w="556" w:type="pct"/>
            <w:noWrap w:val="0"/>
            <w:vAlign w:val="center"/>
          </w:tcPr>
          <w:p>
            <w:pPr>
              <w:jc w:val="center"/>
              <w:rPr>
                <w:rFonts w:hint="default" w:ascii="宋体" w:hAnsi="宋体" w:cs="宋体"/>
                <w:color w:val="000000"/>
                <w:kern w:val="2"/>
                <w:sz w:val="21"/>
                <w:szCs w:val="21"/>
                <w:lang w:val="en-US" w:eastAsia="zh-CN" w:bidi="ar-SA"/>
              </w:rPr>
            </w:pPr>
            <w:r>
              <w:rPr>
                <w:rFonts w:hint="eastAsia" w:ascii="宋体" w:hAnsi="宋体"/>
                <w:lang w:val="en-US" w:eastAsia="zh-CN"/>
              </w:rPr>
              <w:t>10组</w:t>
            </w:r>
            <w:r>
              <w:rPr>
                <w:rFonts w:hint="eastAsia" w:ascii="宋体" w:hAnsi="宋体"/>
              </w:rPr>
              <w:t>/年</w:t>
            </w:r>
          </w:p>
        </w:tc>
        <w:tc>
          <w:tcPr>
            <w:tcW w:w="2964" w:type="pct"/>
            <w:noWrap w:val="0"/>
            <w:vAlign w:val="top"/>
          </w:tcPr>
          <w:p>
            <w:pPr>
              <w:numPr>
                <w:ilvl w:val="0"/>
                <w:numId w:val="2"/>
              </w:numPr>
              <w:spacing w:line="360" w:lineRule="auto"/>
              <w:ind w:left="454" w:leftChars="0" w:hanging="454" w:firstLineChars="0"/>
              <w:rPr>
                <w:rFonts w:hint="eastAsia" w:ascii="宋体" w:hAnsi="宋体" w:eastAsia="宋体" w:cs="Segoe UI"/>
                <w:spacing w:val="8"/>
                <w:kern w:val="0"/>
                <w:sz w:val="18"/>
                <w:szCs w:val="18"/>
                <w:lang w:val="en-US" w:eastAsia="zh-CN" w:bidi="ar-SA"/>
              </w:rPr>
            </w:pPr>
            <w:r>
              <w:rPr>
                <w:rFonts w:ascii="Segoe UI Symbol" w:hAnsi="Segoe UI Symbol" w:cs="Segoe UI Symbol"/>
                <w:sz w:val="28"/>
                <w:szCs w:val="28"/>
              </w:rPr>
              <w:t>★</w:t>
            </w:r>
            <w:r>
              <w:rPr>
                <w:rFonts w:hint="eastAsia" w:ascii="宋体" w:hAnsi="宋体" w:eastAsia="宋体" w:cs="Segoe UI"/>
                <w:spacing w:val="8"/>
                <w:kern w:val="0"/>
                <w:sz w:val="18"/>
                <w:szCs w:val="18"/>
                <w:lang w:val="en-US" w:eastAsia="zh-CN" w:bidi="ar-SA"/>
              </w:rPr>
              <w:t>适用于组织切片的存放、查阅、病理诊断的复诊，匹配科室</w:t>
            </w:r>
          </w:p>
          <w:p>
            <w:pPr>
              <w:numPr>
                <w:numId w:val="0"/>
              </w:numPr>
              <w:spacing w:line="360" w:lineRule="auto"/>
              <w:ind w:left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现有玻片柜。</w:t>
            </w:r>
          </w:p>
          <w:p>
            <w:pPr>
              <w:numPr>
                <w:ilvl w:val="0"/>
                <w:numId w:val="2"/>
              </w:numPr>
              <w:spacing w:line="360" w:lineRule="auto"/>
              <w:ind w:left="454" w:leftChars="0" w:hanging="454" w:firstLine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柜体采用钢板，承重性良好；柜体经防锈处理，整体美观大方，</w:t>
            </w:r>
          </w:p>
          <w:p>
            <w:pPr>
              <w:numPr>
                <w:numId w:val="0"/>
              </w:numPr>
              <w:spacing w:line="360" w:lineRule="auto"/>
              <w:ind w:left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结构紧凑；柜体表面经酸碱溶液除锈处理，经磷化，电镀处理，耐腐蚀性强；</w:t>
            </w:r>
          </w:p>
          <w:p>
            <w:pPr>
              <w:numPr>
                <w:ilvl w:val="0"/>
                <w:numId w:val="2"/>
              </w:numPr>
              <w:spacing w:line="360" w:lineRule="auto"/>
              <w:ind w:left="454" w:leftChars="0" w:hanging="454" w:firstLine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▲柜体结构为左右结构，每组玻片柜由横排≥6个抽屉组成；</w:t>
            </w:r>
          </w:p>
          <w:p>
            <w:pPr>
              <w:numPr>
                <w:ilvl w:val="0"/>
                <w:numId w:val="2"/>
              </w:numPr>
              <w:spacing w:line="360" w:lineRule="auto"/>
              <w:ind w:left="454" w:leftChars="0" w:hanging="454" w:firstLine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抽屉内部导轨模压成型，推拉顺畅，同时具有防滑功能，防止</w:t>
            </w:r>
          </w:p>
          <w:p>
            <w:pPr>
              <w:numPr>
                <w:numId w:val="0"/>
              </w:numPr>
              <w:spacing w:line="360" w:lineRule="auto"/>
              <w:ind w:left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抽屉拉出过长，造成意外跌落；</w:t>
            </w:r>
          </w:p>
          <w:p>
            <w:pPr>
              <w:numPr>
                <w:ilvl w:val="0"/>
                <w:numId w:val="2"/>
              </w:numPr>
              <w:spacing w:line="360" w:lineRule="auto"/>
              <w:ind w:left="454" w:leftChars="0" w:hanging="454" w:firstLine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▲抽屉内分隔成2槽，便于存档；</w:t>
            </w:r>
          </w:p>
          <w:p>
            <w:pPr>
              <w:numPr>
                <w:ilvl w:val="0"/>
                <w:numId w:val="2"/>
              </w:numPr>
              <w:spacing w:line="360" w:lineRule="auto"/>
              <w:ind w:left="454" w:leftChars="0" w:hanging="454" w:firstLine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抽屉前板设有标签插槽；抽屉配置拉手；</w:t>
            </w:r>
          </w:p>
          <w:p>
            <w:pPr>
              <w:numPr>
                <w:ilvl w:val="0"/>
                <w:numId w:val="0"/>
              </w:numPr>
              <w:spacing w:line="360" w:lineRule="auto"/>
              <w:ind w:left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7.柜体底部设有安装孔，上方设有立柱，方便安装，且稳固；</w:t>
            </w:r>
          </w:p>
          <w:p>
            <w:pPr>
              <w:numPr>
                <w:ilvl w:val="0"/>
                <w:numId w:val="0"/>
              </w:numPr>
              <w:spacing w:line="360" w:lineRule="auto"/>
              <w:ind w:left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8.▲玻片柜尺寸：450*500*130mm；</w:t>
            </w:r>
          </w:p>
          <w:p>
            <w:pPr>
              <w:numPr>
                <w:ilvl w:val="0"/>
                <w:numId w:val="0"/>
              </w:numPr>
              <w:spacing w:line="360" w:lineRule="auto"/>
              <w:ind w:leftChars="0"/>
              <w:rPr>
                <w:rFonts w:hint="default"/>
                <w:lang w:val="en-US" w:eastAsia="zh-CN"/>
              </w:rPr>
            </w:pPr>
            <w:r>
              <w:rPr>
                <w:rFonts w:hint="eastAsia" w:ascii="宋体" w:hAnsi="宋体" w:eastAsia="宋体" w:cs="Segoe UI"/>
                <w:spacing w:val="8"/>
                <w:kern w:val="0"/>
                <w:sz w:val="18"/>
                <w:szCs w:val="18"/>
                <w:lang w:val="en-US" w:eastAsia="zh-CN" w:bidi="ar-SA"/>
              </w:rPr>
              <w:t>9.▲玻片存档数量≥4000张玻片。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13"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2</w:t>
            </w:r>
          </w:p>
        </w:tc>
        <w:tc>
          <w:tcPr>
            <w:tcW w:w="546" w:type="pct"/>
            <w:noWrap w:val="0"/>
            <w:vAlign w:val="center"/>
          </w:tcPr>
          <w:p>
            <w:pPr>
              <w:spacing w:line="360" w:lineRule="exact"/>
              <w:jc w:val="center"/>
              <w:rPr>
                <w:rFonts w:hint="default" w:ascii="宋体" w:hAnsi="宋体" w:eastAsia="宋体"/>
                <w:lang w:val="en-US" w:eastAsia="zh-CN"/>
              </w:rPr>
            </w:pPr>
            <w:r>
              <w:rPr>
                <w:rFonts w:hint="eastAsia" w:ascii="宋体" w:hAnsi="宋体" w:eastAsia="宋体" w:cs="Times New Roman"/>
                <w:bCs/>
                <w:lang w:val="en-US" w:eastAsia="zh-CN"/>
              </w:rPr>
              <w:t>蜡块柜</w:t>
            </w:r>
          </w:p>
        </w:tc>
        <w:tc>
          <w:tcPr>
            <w:tcW w:w="619" w:type="pct"/>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lang w:val="en-US" w:eastAsia="zh-CN"/>
              </w:rPr>
              <w:t>800</w:t>
            </w:r>
            <w:r>
              <w:rPr>
                <w:rFonts w:hint="eastAsia" w:ascii="宋体" w:hAnsi="宋体"/>
              </w:rPr>
              <w:t>元</w:t>
            </w:r>
          </w:p>
        </w:tc>
        <w:tc>
          <w:tcPr>
            <w:tcW w:w="556" w:type="pct"/>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lang w:val="en-US" w:eastAsia="zh-CN"/>
              </w:rPr>
              <w:t>30组</w:t>
            </w:r>
            <w:r>
              <w:rPr>
                <w:rFonts w:hint="eastAsia" w:ascii="宋体" w:hAnsi="宋体"/>
              </w:rPr>
              <w:t>/年</w:t>
            </w:r>
          </w:p>
        </w:tc>
        <w:tc>
          <w:tcPr>
            <w:tcW w:w="2964" w:type="pct"/>
            <w:noWrap w:val="0"/>
            <w:vAlign w:val="top"/>
          </w:tcPr>
          <w:p>
            <w:pPr>
              <w:numPr>
                <w:ilvl w:val="0"/>
                <w:numId w:val="3"/>
              </w:numPr>
              <w:spacing w:line="360" w:lineRule="auto"/>
              <w:ind w:left="454" w:leftChars="0" w:hanging="454" w:firstLineChars="0"/>
              <w:rPr>
                <w:rFonts w:hint="default" w:ascii="宋体" w:hAnsi="宋体" w:eastAsia="宋体" w:cs="Segoe UI"/>
                <w:spacing w:val="8"/>
                <w:kern w:val="0"/>
                <w:sz w:val="18"/>
                <w:szCs w:val="18"/>
                <w:lang w:val="en-US" w:eastAsia="zh-CN" w:bidi="ar-SA"/>
              </w:rPr>
            </w:pPr>
            <w:r>
              <w:rPr>
                <w:rFonts w:ascii="Segoe UI Symbol" w:hAnsi="Segoe UI Symbol" w:cs="Segoe UI Symbol"/>
                <w:sz w:val="28"/>
                <w:szCs w:val="28"/>
              </w:rPr>
              <w:t>★</w:t>
            </w:r>
            <w:r>
              <w:rPr>
                <w:rFonts w:hint="default" w:ascii="宋体" w:hAnsi="宋体" w:eastAsia="宋体" w:cs="Segoe UI"/>
                <w:spacing w:val="8"/>
                <w:kern w:val="0"/>
                <w:sz w:val="18"/>
                <w:szCs w:val="18"/>
                <w:lang w:val="en-US" w:eastAsia="zh-CN" w:bidi="ar-SA"/>
              </w:rPr>
              <w:t>适用于蜡块的存放、查阅、重切及免疫组化的复诊切片</w:t>
            </w:r>
            <w:r>
              <w:rPr>
                <w:rFonts w:hint="eastAsia" w:ascii="宋体" w:hAnsi="宋体" w:eastAsia="宋体" w:cs="Segoe UI"/>
                <w:spacing w:val="8"/>
                <w:kern w:val="0"/>
                <w:sz w:val="18"/>
                <w:szCs w:val="18"/>
                <w:lang w:val="en-US" w:eastAsia="zh-CN" w:bidi="ar-SA"/>
              </w:rPr>
              <w:t>，匹</w:t>
            </w:r>
          </w:p>
          <w:p>
            <w:pPr>
              <w:numPr>
                <w:numId w:val="0"/>
              </w:numPr>
              <w:spacing w:line="360" w:lineRule="auto"/>
              <w:ind w:leftChars="0"/>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配科室现有蜡块柜；</w:t>
            </w:r>
          </w:p>
          <w:p>
            <w:pPr>
              <w:numPr>
                <w:ilvl w:val="0"/>
                <w:numId w:val="3"/>
              </w:numPr>
              <w:spacing w:line="360" w:lineRule="auto"/>
              <w:ind w:left="454" w:leftChars="0" w:hanging="454" w:firstLineChars="0"/>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w:t>
            </w:r>
            <w:r>
              <w:rPr>
                <w:rFonts w:hint="default" w:ascii="宋体" w:hAnsi="宋体" w:eastAsia="宋体" w:cs="Segoe UI"/>
                <w:spacing w:val="8"/>
                <w:kern w:val="0"/>
                <w:sz w:val="18"/>
                <w:szCs w:val="18"/>
                <w:lang w:val="en-US" w:eastAsia="zh-CN" w:bidi="ar-SA"/>
              </w:rPr>
              <w:t>柜体采用钢板，</w:t>
            </w:r>
            <w:r>
              <w:rPr>
                <w:rFonts w:hint="eastAsia" w:ascii="宋体" w:hAnsi="宋体" w:eastAsia="宋体" w:cs="Segoe UI"/>
                <w:spacing w:val="8"/>
                <w:kern w:val="0"/>
                <w:sz w:val="18"/>
                <w:szCs w:val="18"/>
                <w:lang w:val="en-US" w:eastAsia="zh-CN" w:bidi="ar-SA"/>
              </w:rPr>
              <w:t>承重性良好</w:t>
            </w:r>
            <w:r>
              <w:rPr>
                <w:rFonts w:hint="default" w:ascii="宋体" w:hAnsi="宋体" w:eastAsia="宋体" w:cs="Segoe UI"/>
                <w:spacing w:val="8"/>
                <w:kern w:val="0"/>
                <w:sz w:val="18"/>
                <w:szCs w:val="18"/>
                <w:lang w:val="en-US" w:eastAsia="zh-CN" w:bidi="ar-SA"/>
              </w:rPr>
              <w:t>；柜体经防锈处理；柜体表面经</w:t>
            </w:r>
          </w:p>
          <w:p>
            <w:pPr>
              <w:numPr>
                <w:numId w:val="0"/>
              </w:numPr>
              <w:spacing w:line="360" w:lineRule="auto"/>
              <w:ind w:leftChars="0"/>
              <w:rPr>
                <w:rFonts w:hint="default" w:ascii="宋体" w:hAnsi="宋体" w:eastAsia="宋体" w:cs="Segoe UI"/>
                <w:spacing w:val="8"/>
                <w:kern w:val="0"/>
                <w:sz w:val="18"/>
                <w:szCs w:val="18"/>
                <w:lang w:val="en-US" w:eastAsia="zh-CN" w:bidi="ar-SA"/>
              </w:rPr>
            </w:pPr>
            <w:r>
              <w:rPr>
                <w:rFonts w:hint="default" w:ascii="宋体" w:hAnsi="宋体" w:eastAsia="宋体" w:cs="Segoe UI"/>
                <w:spacing w:val="8"/>
                <w:kern w:val="0"/>
                <w:sz w:val="18"/>
                <w:szCs w:val="18"/>
                <w:lang w:val="en-US" w:eastAsia="zh-CN" w:bidi="ar-SA"/>
              </w:rPr>
              <w:t>酸碱溶液除锈处理，经磷化，电镀处理，耐腐蚀性强；</w:t>
            </w:r>
          </w:p>
          <w:p>
            <w:pPr>
              <w:numPr>
                <w:ilvl w:val="0"/>
                <w:numId w:val="3"/>
              </w:numPr>
              <w:spacing w:line="360" w:lineRule="auto"/>
              <w:ind w:left="454" w:leftChars="0" w:hanging="454" w:firstLineChars="0"/>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w:t>
            </w:r>
            <w:r>
              <w:rPr>
                <w:rFonts w:hint="default" w:ascii="宋体" w:hAnsi="宋体" w:eastAsia="宋体" w:cs="Segoe UI"/>
                <w:spacing w:val="8"/>
                <w:kern w:val="0"/>
                <w:sz w:val="18"/>
                <w:szCs w:val="18"/>
                <w:lang w:val="en-US" w:eastAsia="zh-CN" w:bidi="ar-SA"/>
              </w:rPr>
              <w:t>柜体结构为上下结构，每组柜体由</w:t>
            </w:r>
            <w:r>
              <w:rPr>
                <w:rFonts w:hint="eastAsia" w:ascii="宋体" w:hAnsi="宋体" w:eastAsia="宋体" w:cs="Segoe UI"/>
                <w:spacing w:val="8"/>
                <w:kern w:val="0"/>
                <w:sz w:val="18"/>
                <w:szCs w:val="18"/>
                <w:lang w:val="en-US" w:eastAsia="zh-CN" w:bidi="ar-SA"/>
              </w:rPr>
              <w:t>≥</w:t>
            </w:r>
            <w:r>
              <w:rPr>
                <w:rFonts w:hint="default" w:ascii="宋体" w:hAnsi="宋体" w:eastAsia="宋体" w:cs="Segoe UI"/>
                <w:spacing w:val="8"/>
                <w:kern w:val="0"/>
                <w:sz w:val="18"/>
                <w:szCs w:val="18"/>
                <w:lang w:val="en-US" w:eastAsia="zh-CN" w:bidi="ar-SA"/>
              </w:rPr>
              <w:t>6个抽屉组成；</w:t>
            </w:r>
          </w:p>
          <w:p>
            <w:pPr>
              <w:numPr>
                <w:ilvl w:val="0"/>
                <w:numId w:val="3"/>
              </w:numPr>
              <w:spacing w:line="360" w:lineRule="auto"/>
              <w:ind w:left="454" w:leftChars="0" w:hanging="454" w:firstLineChars="0"/>
              <w:rPr>
                <w:rFonts w:hint="default" w:ascii="宋体" w:hAnsi="宋体" w:eastAsia="宋体" w:cs="Segoe UI"/>
                <w:spacing w:val="8"/>
                <w:kern w:val="0"/>
                <w:sz w:val="18"/>
                <w:szCs w:val="18"/>
                <w:lang w:val="en-US" w:eastAsia="zh-CN" w:bidi="ar-SA"/>
              </w:rPr>
            </w:pPr>
            <w:r>
              <w:rPr>
                <w:rFonts w:hint="default" w:ascii="宋体" w:hAnsi="宋体" w:eastAsia="宋体" w:cs="Segoe UI"/>
                <w:spacing w:val="8"/>
                <w:kern w:val="0"/>
                <w:sz w:val="18"/>
                <w:szCs w:val="18"/>
                <w:lang w:val="en-US" w:eastAsia="zh-CN" w:bidi="ar-SA"/>
              </w:rPr>
              <w:t>每个抽屉配有</w:t>
            </w:r>
            <w:r>
              <w:rPr>
                <w:rFonts w:hint="eastAsia" w:ascii="宋体" w:hAnsi="宋体" w:eastAsia="宋体" w:cs="Segoe UI"/>
                <w:spacing w:val="8"/>
                <w:kern w:val="0"/>
                <w:sz w:val="18"/>
                <w:szCs w:val="18"/>
                <w:lang w:val="en-US" w:eastAsia="zh-CN" w:bidi="ar-SA"/>
              </w:rPr>
              <w:t>≥</w:t>
            </w:r>
            <w:r>
              <w:rPr>
                <w:rFonts w:hint="default" w:ascii="宋体" w:hAnsi="宋体" w:eastAsia="宋体" w:cs="Segoe UI"/>
                <w:spacing w:val="8"/>
                <w:kern w:val="0"/>
                <w:sz w:val="18"/>
                <w:szCs w:val="18"/>
                <w:lang w:val="en-US" w:eastAsia="zh-CN" w:bidi="ar-SA"/>
              </w:rPr>
              <w:t>1</w:t>
            </w:r>
            <w:r>
              <w:rPr>
                <w:rFonts w:hint="eastAsia" w:ascii="宋体" w:hAnsi="宋体" w:eastAsia="宋体" w:cs="Segoe UI"/>
                <w:spacing w:val="8"/>
                <w:kern w:val="0"/>
                <w:sz w:val="18"/>
                <w:szCs w:val="18"/>
                <w:lang w:val="en-US" w:eastAsia="zh-CN" w:bidi="ar-SA"/>
              </w:rPr>
              <w:t>0</w:t>
            </w:r>
            <w:r>
              <w:rPr>
                <w:rFonts w:hint="default" w:ascii="宋体" w:hAnsi="宋体" w:eastAsia="宋体" w:cs="Segoe UI"/>
                <w:spacing w:val="8"/>
                <w:kern w:val="0"/>
                <w:sz w:val="18"/>
                <w:szCs w:val="18"/>
                <w:lang w:val="en-US" w:eastAsia="zh-CN" w:bidi="ar-SA"/>
              </w:rPr>
              <w:t>根隔条；</w:t>
            </w:r>
          </w:p>
          <w:p>
            <w:pPr>
              <w:numPr>
                <w:ilvl w:val="0"/>
                <w:numId w:val="3"/>
              </w:numPr>
              <w:spacing w:line="360" w:lineRule="auto"/>
              <w:ind w:left="14" w:leftChars="0" w:hanging="14" w:firstLineChars="0"/>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w:t>
            </w:r>
            <w:r>
              <w:rPr>
                <w:rFonts w:hint="default" w:ascii="宋体" w:hAnsi="宋体" w:eastAsia="宋体" w:cs="Segoe UI"/>
                <w:spacing w:val="8"/>
                <w:kern w:val="0"/>
                <w:sz w:val="18"/>
                <w:szCs w:val="18"/>
                <w:lang w:val="en-US" w:eastAsia="zh-CN" w:bidi="ar-SA"/>
              </w:rPr>
              <w:t>抽屉内部两面设有竖插孔，单面插孔数量≥60个，可根据不同大小蜡块，自由组合，放置不同规格蜡块；</w:t>
            </w:r>
          </w:p>
          <w:p>
            <w:pPr>
              <w:numPr>
                <w:ilvl w:val="0"/>
                <w:numId w:val="3"/>
              </w:numPr>
              <w:spacing w:line="360" w:lineRule="auto"/>
              <w:ind w:left="14" w:leftChars="0" w:hanging="14" w:firstLineChars="0"/>
              <w:rPr>
                <w:rFonts w:hint="default" w:ascii="宋体" w:hAnsi="宋体" w:eastAsia="宋体" w:cs="Segoe UI"/>
                <w:spacing w:val="8"/>
                <w:kern w:val="0"/>
                <w:sz w:val="18"/>
                <w:szCs w:val="18"/>
                <w:lang w:val="en-US" w:eastAsia="zh-CN" w:bidi="ar-SA"/>
              </w:rPr>
            </w:pPr>
            <w:r>
              <w:rPr>
                <w:rFonts w:hint="default" w:ascii="宋体" w:hAnsi="宋体" w:eastAsia="宋体" w:cs="Segoe UI"/>
                <w:spacing w:val="8"/>
                <w:kern w:val="0"/>
                <w:sz w:val="18"/>
                <w:szCs w:val="18"/>
                <w:lang w:val="en-US" w:eastAsia="zh-CN" w:bidi="ar-SA"/>
              </w:rPr>
              <w:t>蜡块柜抽屉滑轮耐磨耐用，方便推拉，同时具有防滑功能，防止抽屉拉出过长，造成意外跌落；</w:t>
            </w:r>
          </w:p>
          <w:p>
            <w:pPr>
              <w:numPr>
                <w:ilvl w:val="0"/>
                <w:numId w:val="3"/>
              </w:numPr>
              <w:spacing w:line="360" w:lineRule="auto"/>
              <w:ind w:left="454" w:leftChars="0" w:hanging="454" w:firstLineChars="0"/>
              <w:rPr>
                <w:rFonts w:hint="default" w:ascii="宋体" w:hAnsi="宋体" w:eastAsia="宋体" w:cs="Segoe UI"/>
                <w:spacing w:val="8"/>
                <w:kern w:val="0"/>
                <w:sz w:val="18"/>
                <w:szCs w:val="18"/>
                <w:lang w:val="en-US" w:eastAsia="zh-CN" w:bidi="ar-SA"/>
              </w:rPr>
            </w:pPr>
            <w:r>
              <w:rPr>
                <w:rFonts w:hint="default" w:ascii="宋体" w:hAnsi="宋体" w:eastAsia="宋体" w:cs="Segoe UI"/>
                <w:spacing w:val="8"/>
                <w:kern w:val="0"/>
                <w:sz w:val="18"/>
                <w:szCs w:val="18"/>
                <w:lang w:val="en-US" w:eastAsia="zh-CN" w:bidi="ar-SA"/>
              </w:rPr>
              <w:t>抽屉前板设有标签插槽；</w:t>
            </w:r>
            <w:r>
              <w:rPr>
                <w:rFonts w:hint="eastAsia" w:ascii="宋体" w:hAnsi="宋体" w:eastAsia="宋体" w:cs="Segoe UI"/>
                <w:spacing w:val="8"/>
                <w:kern w:val="0"/>
                <w:sz w:val="18"/>
                <w:szCs w:val="18"/>
                <w:lang w:val="en-US" w:eastAsia="zh-CN" w:bidi="ar-SA"/>
              </w:rPr>
              <w:t>抽屉配置拉手；</w:t>
            </w:r>
          </w:p>
          <w:p>
            <w:pPr>
              <w:numPr>
                <w:ilvl w:val="0"/>
                <w:numId w:val="0"/>
              </w:numPr>
              <w:spacing w:line="360" w:lineRule="auto"/>
              <w:ind w:leftChars="0"/>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8.柜体底部设有安装孔，上方设有立柱，方便安装，且稳固；</w:t>
            </w:r>
          </w:p>
          <w:p>
            <w:pPr>
              <w:numPr>
                <w:ilvl w:val="0"/>
                <w:numId w:val="0"/>
              </w:numPr>
              <w:spacing w:line="360" w:lineRule="auto"/>
              <w:ind w:leftChars="0"/>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9.▲</w:t>
            </w:r>
            <w:r>
              <w:rPr>
                <w:rFonts w:hint="default" w:ascii="宋体" w:hAnsi="宋体" w:eastAsia="宋体" w:cs="Segoe UI"/>
                <w:spacing w:val="8"/>
                <w:kern w:val="0"/>
                <w:sz w:val="18"/>
                <w:szCs w:val="18"/>
                <w:lang w:val="en-US" w:eastAsia="zh-CN" w:bidi="ar-SA"/>
              </w:rPr>
              <w:t>蜡块柜尺寸：</w:t>
            </w:r>
            <w:r>
              <w:rPr>
                <w:rFonts w:hint="eastAsia" w:ascii="宋体" w:hAnsi="宋体" w:eastAsia="宋体" w:cs="Segoe UI"/>
                <w:spacing w:val="8"/>
                <w:kern w:val="0"/>
                <w:sz w:val="18"/>
                <w:szCs w:val="18"/>
                <w:lang w:val="en-US" w:eastAsia="zh-CN" w:bidi="ar-SA"/>
              </w:rPr>
              <w:t>450</w:t>
            </w:r>
            <w:r>
              <w:rPr>
                <w:rFonts w:hint="default" w:ascii="宋体" w:hAnsi="宋体" w:eastAsia="宋体" w:cs="Segoe UI"/>
                <w:spacing w:val="8"/>
                <w:kern w:val="0"/>
                <w:sz w:val="18"/>
                <w:szCs w:val="18"/>
                <w:lang w:val="en-US" w:eastAsia="zh-CN" w:bidi="ar-SA"/>
              </w:rPr>
              <w:t>*</w:t>
            </w:r>
            <w:r>
              <w:rPr>
                <w:rFonts w:hint="eastAsia" w:ascii="宋体" w:hAnsi="宋体" w:eastAsia="宋体" w:cs="Segoe UI"/>
                <w:spacing w:val="8"/>
                <w:kern w:val="0"/>
                <w:sz w:val="18"/>
                <w:szCs w:val="18"/>
                <w:lang w:val="en-US" w:eastAsia="zh-CN" w:bidi="ar-SA"/>
              </w:rPr>
              <w:t>500</w:t>
            </w:r>
            <w:r>
              <w:rPr>
                <w:rFonts w:hint="default" w:ascii="宋体" w:hAnsi="宋体" w:eastAsia="宋体" w:cs="Segoe UI"/>
                <w:spacing w:val="8"/>
                <w:kern w:val="0"/>
                <w:sz w:val="18"/>
                <w:szCs w:val="18"/>
                <w:lang w:val="en-US" w:eastAsia="zh-CN" w:bidi="ar-SA"/>
              </w:rPr>
              <w:t>*</w:t>
            </w:r>
            <w:r>
              <w:rPr>
                <w:rFonts w:hint="eastAsia" w:ascii="宋体" w:hAnsi="宋体" w:eastAsia="宋体" w:cs="Segoe UI"/>
                <w:spacing w:val="8"/>
                <w:kern w:val="0"/>
                <w:sz w:val="18"/>
                <w:szCs w:val="18"/>
                <w:lang w:val="en-US" w:eastAsia="zh-CN" w:bidi="ar-SA"/>
              </w:rPr>
              <w:t>390</w:t>
            </w:r>
            <w:r>
              <w:rPr>
                <w:rFonts w:hint="default" w:ascii="宋体" w:hAnsi="宋体" w:eastAsia="宋体" w:cs="Segoe UI"/>
                <w:spacing w:val="8"/>
                <w:kern w:val="0"/>
                <w:sz w:val="18"/>
                <w:szCs w:val="18"/>
                <w:lang w:val="en-US" w:eastAsia="zh-CN" w:bidi="ar-SA"/>
              </w:rPr>
              <w:t>mm</w:t>
            </w:r>
            <w:r>
              <w:rPr>
                <w:rFonts w:hint="eastAsia" w:ascii="宋体" w:hAnsi="宋体" w:eastAsia="宋体" w:cs="Segoe UI"/>
                <w:spacing w:val="8"/>
                <w:kern w:val="0"/>
                <w:sz w:val="18"/>
                <w:szCs w:val="18"/>
                <w:lang w:val="en-US" w:eastAsia="zh-CN" w:bidi="ar-SA"/>
              </w:rPr>
              <w:t>；</w:t>
            </w:r>
          </w:p>
          <w:p>
            <w:pPr>
              <w:rPr>
                <w:rFonts w:hint="eastAsia"/>
                <w:lang w:val="en-US" w:eastAsia="zh-CN"/>
              </w:rPr>
            </w:pPr>
            <w:r>
              <w:rPr>
                <w:rFonts w:hint="eastAsia" w:ascii="宋体" w:hAnsi="宋体" w:eastAsia="宋体" w:cs="Segoe UI"/>
                <w:spacing w:val="8"/>
                <w:kern w:val="0"/>
                <w:sz w:val="18"/>
                <w:szCs w:val="18"/>
                <w:lang w:val="en-US" w:eastAsia="zh-CN" w:bidi="ar-SA"/>
              </w:rPr>
              <w:t>10.▲</w:t>
            </w:r>
            <w:r>
              <w:rPr>
                <w:rFonts w:hint="default" w:ascii="宋体" w:hAnsi="宋体" w:eastAsia="宋体" w:cs="Segoe UI"/>
                <w:spacing w:val="8"/>
                <w:kern w:val="0"/>
                <w:sz w:val="18"/>
                <w:szCs w:val="18"/>
                <w:lang w:val="en-US" w:eastAsia="zh-CN" w:bidi="ar-SA"/>
              </w:rPr>
              <w:t>蜡块柜存放数量≥3500个包埋盒蜡块</w:t>
            </w:r>
            <w:r>
              <w:rPr>
                <w:rFonts w:hint="eastAsia"/>
                <w:lang w:val="en-US" w:eastAsia="zh-CN"/>
              </w:rPr>
              <w:t>。</w:t>
            </w:r>
          </w:p>
        </w:tc>
      </w:tr>
      <w:bookmarkEnd w:id="1"/>
    </w:tbl>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pStyle w:val="2"/>
        <w:rPr>
          <w:rFonts w:hint="eastAsia" w:ascii="Times New Roman" w:hAnsi="Times New Roman" w:eastAsia="宋体" w:cs="Times New Roman"/>
        </w:rPr>
      </w:pP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90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48"/>
        <w:gridCol w:w="651"/>
        <w:gridCol w:w="605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32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689"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3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309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55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326"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689"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33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eastAsia="宋体" w:cs="宋体"/>
                <w:color w:val="000000"/>
                <w:kern w:val="0"/>
                <w:sz w:val="18"/>
                <w:szCs w:val="18"/>
                <w:lang w:val="en-US" w:eastAsia="zh-CN"/>
              </w:rPr>
              <w:t>30</w:t>
            </w:r>
            <w:r>
              <w:rPr>
                <w:rFonts w:hint="eastAsia" w:ascii="宋体" w:hAnsi="宋体" w:eastAsia="宋体" w:cs="宋体"/>
                <w:color w:val="000000"/>
                <w:kern w:val="0"/>
                <w:sz w:val="18"/>
                <w:szCs w:val="18"/>
              </w:rPr>
              <w:t>分</w:t>
            </w:r>
          </w:p>
        </w:tc>
        <w:tc>
          <w:tcPr>
            <w:tcW w:w="3094" w:type="pct"/>
            <w:noWrap w:val="0"/>
            <w:vAlign w:val="center"/>
          </w:tcPr>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1.价格分：</w:t>
            </w:r>
          </w:p>
          <w:p>
            <w:pPr>
              <w:widowControl/>
              <w:wordWrap w:val="0"/>
              <w:spacing w:line="27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投标材料满足采购文件要求且以报价总价最低的为评标基准价，其价格分为</w:t>
            </w:r>
            <w:r>
              <w:rPr>
                <w:rFonts w:hint="eastAsia" w:ascii="宋体" w:hAnsi="宋体" w:eastAsia="宋体" w:cs="宋体"/>
                <w:color w:val="000000"/>
                <w:kern w:val="0"/>
                <w:sz w:val="18"/>
                <w:szCs w:val="18"/>
                <w:lang w:val="en-US" w:eastAsia="zh-CN"/>
              </w:rPr>
              <w:t>30</w:t>
            </w:r>
            <w:r>
              <w:rPr>
                <w:rFonts w:hint="eastAsia" w:ascii="宋体" w:hAnsi="宋体" w:eastAsia="宋体" w:cs="宋体"/>
                <w:color w:val="000000"/>
                <w:kern w:val="0"/>
                <w:sz w:val="18"/>
                <w:szCs w:val="18"/>
              </w:rPr>
              <w:t>分。其他供应商的价格分统一按照以下公式计算：价格分=(评标基准价／报价总价)×</w:t>
            </w:r>
            <w:r>
              <w:rPr>
                <w:rFonts w:hint="eastAsia" w:ascii="宋体" w:hAnsi="宋体" w:eastAsia="宋体" w:cs="宋体"/>
                <w:color w:val="000000"/>
                <w:kern w:val="0"/>
                <w:sz w:val="18"/>
                <w:szCs w:val="18"/>
                <w:lang w:val="en-US" w:eastAsia="zh-CN"/>
              </w:rPr>
              <w:t>30</w:t>
            </w:r>
          </w:p>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2.报价总价</w:t>
            </w:r>
          </w:p>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eastAsia="宋体" w:cs="宋体"/>
                <w:color w:val="000000"/>
                <w:kern w:val="0"/>
                <w:sz w:val="18"/>
                <w:szCs w:val="18"/>
                <w:lang w:val="en-US" w:eastAsia="zh-CN"/>
              </w:rPr>
              <w:t xml:space="preserve">2.1 </w:t>
            </w:r>
            <w:r>
              <w:rPr>
                <w:rFonts w:hint="eastAsia" w:ascii="宋体" w:hAnsi="宋体" w:eastAsia="宋体" w:cs="宋体"/>
                <w:color w:val="000000"/>
                <w:kern w:val="0"/>
                <w:sz w:val="18"/>
                <w:szCs w:val="18"/>
              </w:rPr>
              <w:t>报价总价=</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单价*预估</w:t>
            </w:r>
            <w:r>
              <w:rPr>
                <w:rFonts w:hint="eastAsia" w:ascii="宋体" w:hAnsi="宋体" w:eastAsia="宋体" w:cs="宋体"/>
                <w:color w:val="000000"/>
                <w:kern w:val="0"/>
                <w:sz w:val="18"/>
                <w:szCs w:val="18"/>
                <w:lang w:val="en-US" w:eastAsia="zh-CN"/>
              </w:rPr>
              <w:t>年度</w:t>
            </w:r>
            <w:r>
              <w:rPr>
                <w:rFonts w:hint="eastAsia" w:ascii="宋体" w:hAnsi="宋体" w:eastAsia="宋体" w:cs="宋体"/>
                <w:color w:val="000000"/>
                <w:kern w:val="0"/>
                <w:sz w:val="18"/>
                <w:szCs w:val="18"/>
              </w:rPr>
              <w:t>用量之和</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w:t>
            </w:r>
          </w:p>
        </w:tc>
        <w:tc>
          <w:tcPr>
            <w:tcW w:w="556" w:type="pct"/>
            <w:noWrap w:val="0"/>
            <w:vAlign w:val="center"/>
          </w:tcPr>
          <w:p>
            <w:pPr>
              <w:widowControl/>
              <w:wordWrap w:val="0"/>
              <w:spacing w:line="270" w:lineRule="atLeast"/>
              <w:jc w:val="center"/>
              <w:rPr>
                <w:rFonts w:ascii="宋体" w:hAnsi="宋体" w:cs="Segoe UI"/>
                <w:kern w:val="0"/>
                <w:sz w:val="18"/>
                <w:szCs w:val="18"/>
                <w:lang w:val="en-US" w:eastAsia="zh-CN" w:bidi="ar-SA"/>
              </w:rPr>
            </w:pPr>
            <w:r>
              <w:rPr>
                <w:rFonts w:hint="eastAsia" w:ascii="宋体" w:hAnsi="宋体" w:eastAsia="宋体" w:cs="宋体"/>
                <w:color w:val="000000"/>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326"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689"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宋体"/>
                <w:color w:val="000000"/>
                <w:kern w:val="0"/>
                <w:sz w:val="18"/>
                <w:szCs w:val="18"/>
                <w:lang w:val="en-US" w:eastAsia="zh-CN"/>
              </w:rPr>
              <w:t>61</w:t>
            </w:r>
            <w:r>
              <w:rPr>
                <w:rFonts w:hint="eastAsia" w:ascii="宋体" w:hAnsi="宋体" w:cs="宋体"/>
                <w:color w:val="000000"/>
                <w:kern w:val="0"/>
                <w:sz w:val="18"/>
                <w:szCs w:val="18"/>
              </w:rPr>
              <w:t>%</w:t>
            </w:r>
          </w:p>
        </w:tc>
        <w:tc>
          <w:tcPr>
            <w:tcW w:w="33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宋体"/>
                <w:color w:val="000000"/>
                <w:kern w:val="0"/>
                <w:sz w:val="18"/>
                <w:szCs w:val="18"/>
                <w:lang w:val="en-US" w:eastAsia="zh-CN"/>
              </w:rPr>
              <w:t>61分</w:t>
            </w:r>
          </w:p>
        </w:tc>
        <w:tc>
          <w:tcPr>
            <w:tcW w:w="3094" w:type="pct"/>
            <w:noWrap w:val="0"/>
            <w:vAlign w:val="center"/>
          </w:tcPr>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完全符合招标文件技术参数要求得</w:t>
            </w:r>
            <w:r>
              <w:rPr>
                <w:rFonts w:hint="eastAsia" w:ascii="宋体" w:hAnsi="宋体" w:eastAsia="宋体" w:cs="宋体"/>
                <w:color w:val="000000"/>
                <w:kern w:val="0"/>
                <w:sz w:val="18"/>
                <w:szCs w:val="18"/>
                <w:lang w:val="en-US" w:eastAsia="zh-CN"/>
              </w:rPr>
              <w:t>61</w:t>
            </w:r>
            <w:r>
              <w:rPr>
                <w:rFonts w:hint="eastAsia" w:ascii="宋体" w:hAnsi="宋体" w:eastAsia="宋体" w:cs="宋体"/>
                <w:color w:val="000000"/>
                <w:kern w:val="0"/>
                <w:sz w:val="18"/>
                <w:szCs w:val="18"/>
              </w:rPr>
              <w:t>分。▲号条款负偏离一项扣</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分，一般条款负偏离一项扣</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分，扣完为止。（▲号条款共</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项，一般条款共</w:t>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项），</w:t>
            </w:r>
          </w:p>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eastAsia="宋体" w:cs="宋体"/>
                <w:color w:val="000000"/>
                <w:kern w:val="0"/>
                <w:sz w:val="18"/>
                <w:szCs w:val="18"/>
              </w:rPr>
              <w:t>注：（1）▲号条款需提供证明文件</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并标注页码</w:t>
            </w:r>
            <w:r>
              <w:rPr>
                <w:rFonts w:hint="eastAsia" w:ascii="宋体" w:hAnsi="宋体" w:eastAsia="宋体" w:cs="宋体"/>
                <w:color w:val="000000"/>
                <w:kern w:val="0"/>
                <w:sz w:val="18"/>
                <w:szCs w:val="18"/>
              </w:rPr>
              <w:t>（按招标文件要求提供资料, ▲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556" w:type="pct"/>
            <w:noWrap w:val="0"/>
            <w:vAlign w:val="center"/>
          </w:tcPr>
          <w:p>
            <w:pPr>
              <w:widowControl/>
              <w:wordWrap w:val="0"/>
              <w:spacing w:line="270" w:lineRule="atLeast"/>
              <w:jc w:val="center"/>
              <w:rPr>
                <w:rFonts w:ascii="宋体" w:hAnsi="宋体" w:cs="Segoe UI"/>
                <w:kern w:val="0"/>
                <w:sz w:val="18"/>
                <w:szCs w:val="18"/>
                <w:lang w:val="en-US" w:eastAsia="zh-CN" w:bidi="ar-SA"/>
              </w:rPr>
            </w:pPr>
            <w:r>
              <w:rPr>
                <w:rFonts w:hint="eastAsia" w:ascii="宋体" w:hAnsi="宋体" w:eastAsia="宋体" w:cs="宋体"/>
                <w:color w:val="000000"/>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32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689" w:type="pct"/>
            <w:noWrap w:val="0"/>
            <w:vAlign w:val="center"/>
          </w:tcPr>
          <w:p>
            <w:pPr>
              <w:adjustRightInd w:val="0"/>
              <w:spacing w:line="400" w:lineRule="exact"/>
              <w:jc w:val="center"/>
              <w:rPr>
                <w:rFonts w:hint="eastAsia" w:ascii="宋体" w:hAnsi="宋体" w:cs="Segoe UI"/>
                <w:color w:val="000000"/>
                <w:kern w:val="0"/>
                <w:sz w:val="18"/>
                <w:szCs w:val="18"/>
                <w:lang w:val="en-US" w:eastAsia="zh-CN" w:bidi="ar-SA"/>
              </w:rPr>
            </w:pPr>
            <w:r>
              <w:rPr>
                <w:rFonts w:hint="eastAsia" w:ascii="宋体" w:hAnsi="宋体" w:eastAsia="宋体" w:cs="宋体"/>
                <w:color w:val="000000"/>
                <w:kern w:val="0"/>
                <w:sz w:val="18"/>
                <w:szCs w:val="18"/>
                <w:lang w:eastAsia="zh-CN"/>
              </w:rPr>
              <w:t>业绩</w:t>
            </w:r>
            <w:r>
              <w:rPr>
                <w:rFonts w:hint="eastAsia" w:ascii="宋体" w:hAnsi="宋体" w:eastAsia="宋体" w:cs="宋体"/>
                <w:color w:val="000000"/>
                <w:kern w:val="0"/>
                <w:sz w:val="18"/>
                <w:szCs w:val="18"/>
                <w:lang w:val="en-US" w:eastAsia="zh-CN"/>
              </w:rPr>
              <w:t>5%</w:t>
            </w:r>
          </w:p>
        </w:tc>
        <w:tc>
          <w:tcPr>
            <w:tcW w:w="332" w:type="pct"/>
            <w:noWrap w:val="0"/>
            <w:vAlign w:val="center"/>
          </w:tcPr>
          <w:p>
            <w:pPr>
              <w:adjustRightInd w:val="0"/>
              <w:spacing w:line="400" w:lineRule="exact"/>
              <w:jc w:val="center"/>
              <w:rPr>
                <w:rFonts w:hint="eastAsia" w:ascii="宋体" w:hAnsi="宋体" w:cs="Segoe UI"/>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3094" w:type="pct"/>
            <w:noWrap w:val="0"/>
            <w:vAlign w:val="center"/>
          </w:tcPr>
          <w:p>
            <w:pPr>
              <w:adjustRightInd w:val="0"/>
              <w:spacing w:line="40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需提供投标</w:t>
            </w:r>
            <w:r>
              <w:rPr>
                <w:rFonts w:hint="eastAsia" w:ascii="宋体" w:hAnsi="宋体" w:eastAsia="宋体" w:cs="宋体"/>
                <w:color w:val="000000"/>
                <w:kern w:val="0"/>
                <w:sz w:val="18"/>
                <w:szCs w:val="18"/>
                <w:lang w:eastAsia="zh-CN"/>
              </w:rPr>
              <w:t>人</w:t>
            </w:r>
            <w:r>
              <w:rPr>
                <w:rFonts w:hint="eastAsia" w:ascii="宋体" w:hAnsi="宋体" w:eastAsia="宋体" w:cs="宋体"/>
                <w:color w:val="000000"/>
                <w:kern w:val="0"/>
                <w:sz w:val="18"/>
                <w:szCs w:val="18"/>
                <w:lang w:val="en-US" w:eastAsia="zh-CN"/>
              </w:rPr>
              <w:t>2021</w:t>
            </w:r>
            <w:r>
              <w:rPr>
                <w:rFonts w:hint="eastAsia" w:ascii="宋体" w:hAnsi="宋体" w:eastAsia="宋体" w:cs="宋体"/>
                <w:color w:val="000000"/>
                <w:kern w:val="0"/>
                <w:sz w:val="18"/>
                <w:szCs w:val="18"/>
              </w:rPr>
              <w:t>年</w:t>
            </w:r>
            <w:r>
              <w:rPr>
                <w:rFonts w:hint="eastAsia" w:ascii="宋体" w:hAnsi="宋体" w:eastAsia="宋体" w:cs="宋体"/>
                <w:color w:val="000000"/>
                <w:kern w:val="0"/>
                <w:sz w:val="18"/>
                <w:szCs w:val="18"/>
                <w:lang w:val="en-US" w:eastAsia="zh-CN"/>
              </w:rPr>
              <w:t>1月1日（含）</w:t>
            </w:r>
            <w:r>
              <w:rPr>
                <w:rFonts w:hint="eastAsia" w:ascii="宋体" w:hAnsi="宋体" w:eastAsia="宋体" w:cs="宋体"/>
                <w:color w:val="000000"/>
                <w:kern w:val="0"/>
                <w:sz w:val="18"/>
                <w:szCs w:val="18"/>
              </w:rPr>
              <w:t>以来</w:t>
            </w:r>
            <w:r>
              <w:rPr>
                <w:rFonts w:hint="eastAsia" w:ascii="宋体" w:hAnsi="宋体" w:eastAsia="宋体" w:cs="宋体"/>
                <w:color w:val="000000"/>
                <w:kern w:val="0"/>
                <w:sz w:val="18"/>
                <w:szCs w:val="18"/>
                <w:lang w:eastAsia="zh-CN"/>
              </w:rPr>
              <w:t>在</w:t>
            </w:r>
            <w:r>
              <w:rPr>
                <w:rFonts w:hint="eastAsia" w:ascii="宋体" w:hAnsi="宋体" w:eastAsia="宋体" w:cs="宋体"/>
                <w:color w:val="000000"/>
                <w:kern w:val="0"/>
                <w:sz w:val="18"/>
                <w:szCs w:val="18"/>
              </w:rPr>
              <w:t>国内三甲医疗机构</w:t>
            </w:r>
            <w:r>
              <w:rPr>
                <w:rFonts w:hint="eastAsia" w:ascii="宋体" w:hAnsi="宋体" w:eastAsia="宋体" w:cs="宋体"/>
                <w:color w:val="000000"/>
                <w:kern w:val="0"/>
                <w:sz w:val="18"/>
                <w:szCs w:val="18"/>
                <w:lang w:eastAsia="zh-CN"/>
              </w:rPr>
              <w:t>销售</w:t>
            </w:r>
            <w:r>
              <w:rPr>
                <w:rFonts w:hint="eastAsia" w:ascii="宋体" w:hAnsi="宋体" w:eastAsia="宋体" w:cs="宋体"/>
                <w:color w:val="000000"/>
                <w:kern w:val="0"/>
                <w:sz w:val="18"/>
                <w:szCs w:val="18"/>
                <w:lang w:val="en-US" w:eastAsia="zh-CN"/>
              </w:rPr>
              <w:t>响应</w:t>
            </w:r>
            <w:r>
              <w:rPr>
                <w:rFonts w:hint="eastAsia" w:ascii="宋体" w:hAnsi="宋体" w:eastAsia="宋体" w:cs="宋体"/>
                <w:color w:val="000000"/>
                <w:kern w:val="0"/>
                <w:sz w:val="18"/>
                <w:szCs w:val="18"/>
                <w:lang w:eastAsia="zh-CN"/>
              </w:rPr>
              <w:t>产品的业绩证明</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每提供1家三甲医疗机构得1分，最多5分。</w:t>
            </w:r>
          </w:p>
          <w:p>
            <w:pPr>
              <w:adjustRightInd w:val="0"/>
              <w:spacing w:line="40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注：以下</w:t>
            </w:r>
            <w:r>
              <w:rPr>
                <w:rFonts w:hint="eastAsia" w:ascii="宋体" w:hAnsi="宋体" w:eastAsia="宋体" w:cs="宋体"/>
                <w:color w:val="000000"/>
                <w:kern w:val="0"/>
                <w:sz w:val="18"/>
                <w:szCs w:val="18"/>
              </w:rPr>
              <w:t>材料</w:t>
            </w:r>
            <w:r>
              <w:rPr>
                <w:rFonts w:hint="eastAsia" w:ascii="宋体" w:hAnsi="宋体" w:eastAsia="宋体" w:cs="宋体"/>
                <w:color w:val="000000"/>
                <w:kern w:val="0"/>
                <w:sz w:val="18"/>
                <w:szCs w:val="18"/>
                <w:lang w:val="en-US" w:eastAsia="zh-CN"/>
              </w:rPr>
              <w:t>任意一项</w:t>
            </w:r>
            <w:r>
              <w:rPr>
                <w:rFonts w:hint="eastAsia" w:ascii="宋体" w:hAnsi="宋体" w:eastAsia="宋体" w:cs="宋体"/>
                <w:color w:val="000000"/>
                <w:kern w:val="0"/>
                <w:sz w:val="18"/>
                <w:szCs w:val="18"/>
              </w:rPr>
              <w:t>均可作为依据：</w:t>
            </w:r>
          </w:p>
          <w:p>
            <w:pPr>
              <w:adjustRightInd w:val="0"/>
              <w:spacing w:line="40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1.合同复印件</w:t>
            </w:r>
            <w:r>
              <w:rPr>
                <w:rFonts w:hint="eastAsia" w:ascii="宋体" w:hAnsi="宋体" w:eastAsia="宋体" w:cs="宋体"/>
                <w:color w:val="000000"/>
                <w:kern w:val="0"/>
                <w:sz w:val="18"/>
                <w:szCs w:val="18"/>
                <w:lang w:val="en-US" w:eastAsia="zh-CN"/>
              </w:rPr>
              <w:t>或发票复印件</w:t>
            </w:r>
            <w:r>
              <w:rPr>
                <w:rFonts w:hint="eastAsia" w:ascii="宋体" w:hAnsi="宋体" w:eastAsia="宋体" w:cs="宋体"/>
                <w:color w:val="000000"/>
                <w:kern w:val="0"/>
                <w:sz w:val="18"/>
                <w:szCs w:val="18"/>
              </w:rPr>
              <w:t>（若发票复印件上无产品明细则需附销货清单）</w:t>
            </w:r>
            <w:r>
              <w:rPr>
                <w:rFonts w:hint="eastAsia" w:ascii="宋体" w:hAnsi="宋体" w:eastAsia="宋体" w:cs="宋体"/>
                <w:color w:val="000000"/>
                <w:kern w:val="0"/>
                <w:sz w:val="18"/>
                <w:szCs w:val="18"/>
                <w:lang w:eastAsia="zh-CN"/>
              </w:rPr>
              <w:t>。</w:t>
            </w:r>
          </w:p>
          <w:p>
            <w:pPr>
              <w:adjustRightInd w:val="0"/>
              <w:spacing w:line="400" w:lineRule="exact"/>
              <w:jc w:val="left"/>
              <w:rPr>
                <w:rFonts w:hint="eastAsia" w:ascii="宋体" w:hAnsi="宋体" w:cs="宋体"/>
                <w:kern w:val="0"/>
                <w:sz w:val="18"/>
                <w:szCs w:val="18"/>
                <w:lang w:val="en-US" w:eastAsia="zh-CN" w:bidi="ar-SA"/>
              </w:rPr>
            </w:pPr>
            <w:r>
              <w:rPr>
                <w:rFonts w:hint="eastAsia" w:ascii="宋体" w:hAnsi="宋体" w:eastAsia="宋体" w:cs="宋体"/>
                <w:color w:val="000000"/>
                <w:kern w:val="0"/>
                <w:sz w:val="18"/>
                <w:szCs w:val="18"/>
                <w:lang w:val="en-US" w:eastAsia="zh-CN"/>
              </w:rPr>
              <w:t>2.三甲医疗机构证明材料。</w:t>
            </w:r>
          </w:p>
        </w:tc>
        <w:tc>
          <w:tcPr>
            <w:tcW w:w="556" w:type="pct"/>
            <w:noWrap w:val="0"/>
            <w:vAlign w:val="center"/>
          </w:tcPr>
          <w:p>
            <w:pPr>
              <w:adjustRightInd w:val="0"/>
              <w:spacing w:line="400" w:lineRule="exact"/>
              <w:jc w:val="center"/>
              <w:rPr>
                <w:rFonts w:hint="eastAsia" w:ascii="宋体" w:hAnsi="宋体" w:cs="宋体"/>
                <w:kern w:val="0"/>
                <w:sz w:val="18"/>
                <w:szCs w:val="18"/>
                <w:lang w:val="en-US" w:eastAsia="zh-CN" w:bidi="ar-SA"/>
              </w:rPr>
            </w:pPr>
            <w:r>
              <w:rPr>
                <w:rFonts w:hint="eastAsia" w:ascii="宋体" w:hAnsi="宋体" w:eastAsia="宋体" w:cs="宋体"/>
                <w:color w:val="000000"/>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right"/>
        </w:trPr>
        <w:tc>
          <w:tcPr>
            <w:tcW w:w="326"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689"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售后服务方案</w:t>
            </w:r>
          </w:p>
          <w:p>
            <w:pPr>
              <w:adjustRightInd w:val="0"/>
              <w:spacing w:line="400" w:lineRule="exac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w:t>
            </w:r>
          </w:p>
        </w:tc>
        <w:tc>
          <w:tcPr>
            <w:tcW w:w="332" w:type="pct"/>
            <w:noWrap w:val="0"/>
            <w:vAlign w:val="center"/>
          </w:tcPr>
          <w:p>
            <w:pPr>
              <w:adjustRightInd w:val="0"/>
              <w:spacing w:line="400" w:lineRule="exact"/>
              <w:jc w:val="center"/>
              <w:rPr>
                <w:rFonts w:hint="default" w:ascii="宋体" w:hAnsi="宋体" w:eastAsia="宋体" w:cs="Segoe UI"/>
                <w:color w:val="333333"/>
                <w:kern w:val="0"/>
                <w:sz w:val="18"/>
                <w:szCs w:val="18"/>
                <w:lang w:val="en-US" w:eastAsia="zh-CN" w:bidi="ar-SA"/>
              </w:rPr>
            </w:pPr>
            <w:r>
              <w:rPr>
                <w:rFonts w:hint="eastAsia" w:ascii="宋体" w:hAnsi="宋体" w:cs="宋体"/>
                <w:color w:val="000000"/>
                <w:kern w:val="0"/>
                <w:sz w:val="18"/>
                <w:szCs w:val="18"/>
                <w:lang w:val="en-US" w:eastAsia="zh-CN"/>
              </w:rPr>
              <w:t>4分</w:t>
            </w:r>
          </w:p>
        </w:tc>
        <w:tc>
          <w:tcPr>
            <w:tcW w:w="3094" w:type="pct"/>
            <w:noWrap w:val="0"/>
            <w:vAlign w:val="center"/>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根据供应商提供的售后服务方案，包含：①质量保障方案；②技术支持方案；③应急方案；④服务响应方案。方案包含以上4个方面的得12分，每缺少一项的扣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分，每有一项存在内容缺陷扣</w:t>
            </w:r>
            <w:r>
              <w:rPr>
                <w:rFonts w:hint="eastAsia" w:ascii="宋体" w:hAnsi="宋体" w:cs="宋体"/>
                <w:color w:val="000000"/>
                <w:kern w:val="0"/>
                <w:sz w:val="18"/>
                <w:szCs w:val="18"/>
                <w:lang w:val="en-US" w:eastAsia="zh-CN"/>
              </w:rPr>
              <w:t>0.5</w:t>
            </w:r>
            <w:r>
              <w:rPr>
                <w:rFonts w:hint="eastAsia" w:ascii="宋体" w:hAnsi="宋体" w:cs="宋体"/>
                <w:color w:val="000000"/>
                <w:kern w:val="0"/>
                <w:sz w:val="18"/>
                <w:szCs w:val="18"/>
              </w:rPr>
              <w:t>分，扣完为止。</w:t>
            </w:r>
          </w:p>
          <w:p>
            <w:pPr>
              <w:adjustRightInd w:val="0"/>
              <w:spacing w:line="400" w:lineRule="exac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556" w:type="pct"/>
            <w:noWrap w:val="0"/>
            <w:vAlign w:val="center"/>
          </w:tcPr>
          <w:p>
            <w:pPr>
              <w:adjustRightInd w:val="0"/>
              <w:spacing w:line="400" w:lineRule="exact"/>
              <w:jc w:val="center"/>
              <w:rPr>
                <w:rFonts w:hint="eastAsia" w:ascii="宋体" w:hAnsi="宋体" w:eastAsia="宋体" w:cs="Segoe UI"/>
                <w:color w:val="000000"/>
                <w:kern w:val="0"/>
                <w:sz w:val="18"/>
                <w:szCs w:val="18"/>
                <w:lang w:val="en-US" w:eastAsia="zh-CN" w:bidi="ar-SA"/>
              </w:rPr>
            </w:pPr>
            <w:r>
              <w:rPr>
                <w:rFonts w:hint="eastAsia" w:ascii="宋体" w:hAnsi="宋体" w:eastAsia="宋体" w:cs="宋体"/>
                <w:color w:val="000000"/>
                <w:kern w:val="0"/>
                <w:sz w:val="18"/>
                <w:szCs w:val="18"/>
              </w:rPr>
              <w:t>共同评分因素</w:t>
            </w:r>
          </w:p>
        </w:tc>
      </w:tr>
    </w:tbl>
    <w:p>
      <w:pPr>
        <w:pStyle w:val="2"/>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676"/>
      <w:bookmarkStart w:id="3" w:name="_Toc3414"/>
      <w:bookmarkStart w:id="4" w:name="_Toc9234"/>
      <w:bookmarkStart w:id="5" w:name="_Toc21163"/>
      <w:bookmarkStart w:id="6" w:name="_Toc156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494"/>
      <w:bookmarkStart w:id="8" w:name="_Toc11076"/>
      <w:bookmarkStart w:id="9" w:name="_Toc10689"/>
      <w:bookmarkStart w:id="10" w:name="_Toc12490"/>
      <w:bookmarkStart w:id="11" w:name="_Toc60"/>
      <w:bookmarkStart w:id="12" w:name="_Toc5499"/>
      <w:bookmarkStart w:id="13" w:name="_Toc14802"/>
      <w:bookmarkStart w:id="14" w:name="_Toc30275"/>
      <w:bookmarkStart w:id="15" w:name="_Toc5208"/>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3021"/>
      <w:bookmarkStart w:id="17" w:name="_Toc7067"/>
      <w:bookmarkStart w:id="18" w:name="_Toc10183"/>
      <w:bookmarkStart w:id="19" w:name="_Toc28103"/>
      <w:bookmarkStart w:id="20" w:name="_Toc3912"/>
      <w:bookmarkStart w:id="21" w:name="_Toc26481"/>
      <w:bookmarkStart w:id="22" w:name="_Toc30724"/>
      <w:bookmarkStart w:id="23" w:name="_Toc9131"/>
      <w:bookmarkStart w:id="24" w:name="_Toc32214"/>
      <w:bookmarkStart w:id="25" w:name="_Toc3081"/>
      <w:bookmarkStart w:id="26" w:name="_Toc10948"/>
      <w:bookmarkStart w:id="27" w:name="_Toc3392"/>
      <w:bookmarkStart w:id="28" w:name="_Toc18879"/>
      <w:bookmarkStart w:id="29" w:name="_Toc18513"/>
      <w:bookmarkStart w:id="30" w:name="_Toc3447"/>
      <w:bookmarkStart w:id="31" w:name="_Toc8717"/>
      <w:bookmarkStart w:id="32" w:name="_Toc19115"/>
      <w:bookmarkStart w:id="33" w:name="_Toc30080"/>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9042"/>
      <w:bookmarkStart w:id="35" w:name="_Toc23645"/>
      <w:bookmarkStart w:id="36" w:name="_Toc7249"/>
      <w:bookmarkStart w:id="37" w:name="_Toc30920"/>
      <w:bookmarkStart w:id="38" w:name="_Toc18259"/>
      <w:bookmarkStart w:id="39" w:name="_Toc30649"/>
      <w:bookmarkStart w:id="40" w:name="_Toc22795"/>
      <w:bookmarkStart w:id="41" w:name="_Toc10142"/>
      <w:bookmarkStart w:id="42" w:name="_Toc15196"/>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1988"/>
      <w:bookmarkStart w:id="46" w:name="_Toc4775"/>
      <w:bookmarkStart w:id="47" w:name="_Toc26548"/>
      <w:bookmarkStart w:id="48" w:name="_Toc30083"/>
      <w:bookmarkStart w:id="49" w:name="_Toc3004"/>
      <w:bookmarkStart w:id="50" w:name="_Toc3534"/>
      <w:bookmarkStart w:id="51" w:name="_Toc19600"/>
      <w:bookmarkStart w:id="52" w:name="_Toc24117"/>
      <w:bookmarkStart w:id="53" w:name="_Toc25516"/>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6764"/>
      <w:bookmarkStart w:id="55" w:name="_Toc16666"/>
      <w:bookmarkStart w:id="56" w:name="_Toc23192"/>
      <w:bookmarkStart w:id="57" w:name="_Toc27376"/>
      <w:bookmarkStart w:id="58" w:name="_Toc3494"/>
      <w:bookmarkStart w:id="59" w:name="_Toc12333"/>
      <w:bookmarkStart w:id="60" w:name="_Toc22198"/>
      <w:bookmarkStart w:id="61" w:name="_Toc32166"/>
      <w:bookmarkStart w:id="62" w:name="_Toc21982"/>
      <w:bookmarkStart w:id="63" w:name="_Toc691"/>
      <w:bookmarkStart w:id="64" w:name="_Toc14887"/>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4577"/>
      <w:bookmarkStart w:id="66" w:name="_Toc31581"/>
      <w:bookmarkStart w:id="67" w:name="_Toc1371"/>
      <w:bookmarkStart w:id="68" w:name="_Toc22606"/>
      <w:bookmarkStart w:id="69" w:name="_Toc10013"/>
      <w:bookmarkStart w:id="70" w:name="_Toc9263"/>
      <w:bookmarkStart w:id="71" w:name="_Toc25068"/>
      <w:bookmarkStart w:id="72" w:name="_Toc5412"/>
      <w:bookmarkStart w:id="73" w:name="_Toc14269"/>
      <w:bookmarkStart w:id="74" w:name="_Toc3943"/>
      <w:bookmarkStart w:id="75" w:name="_Toc11914"/>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908"/>
      <w:bookmarkStart w:id="77" w:name="_Toc29190"/>
      <w:bookmarkStart w:id="78" w:name="_Toc31890"/>
      <w:bookmarkStart w:id="79" w:name="_Toc18935"/>
      <w:bookmarkStart w:id="80" w:name="_Toc13267"/>
      <w:bookmarkStart w:id="81" w:name="_Toc11489"/>
      <w:bookmarkStart w:id="82" w:name="_Toc13677"/>
      <w:bookmarkStart w:id="83" w:name="_Toc17108"/>
      <w:bookmarkStart w:id="84" w:name="_Toc2937"/>
      <w:bookmarkStart w:id="85" w:name="_Toc10600"/>
      <w:bookmarkStart w:id="86" w:name="_Toc2316"/>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4122"/>
      <w:bookmarkStart w:id="88" w:name="_Toc1313"/>
      <w:bookmarkStart w:id="89" w:name="_Toc31638"/>
      <w:bookmarkStart w:id="90" w:name="_Toc26756"/>
      <w:bookmarkStart w:id="91" w:name="_Toc12088"/>
      <w:bookmarkStart w:id="92" w:name="_Toc14252"/>
      <w:bookmarkStart w:id="93" w:name="_Toc32365"/>
      <w:bookmarkStart w:id="94" w:name="_Toc21351"/>
      <w:bookmarkStart w:id="95" w:name="_Toc1591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083"/>
      <w:bookmarkStart w:id="98" w:name="_Toc26609"/>
      <w:bookmarkStart w:id="99" w:name="_Toc22760"/>
      <w:bookmarkStart w:id="100" w:name="_Toc11278"/>
      <w:bookmarkStart w:id="101" w:name="_Toc18046"/>
      <w:bookmarkStart w:id="102" w:name="_Toc23212"/>
      <w:bookmarkStart w:id="103" w:name="_Toc15894"/>
      <w:bookmarkStart w:id="104" w:name="_Toc27948"/>
      <w:bookmarkStart w:id="105" w:name="_Toc19589"/>
      <w:bookmarkStart w:id="106" w:name="_Toc10583"/>
      <w:bookmarkStart w:id="107" w:name="_Toc27985"/>
      <w:bookmarkStart w:id="108" w:name="_Toc9398"/>
      <w:bookmarkStart w:id="109" w:name="_Toc29215"/>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4116"/>
      <w:bookmarkStart w:id="111" w:name="_Toc17204"/>
      <w:bookmarkStart w:id="112" w:name="_Toc24671"/>
      <w:bookmarkStart w:id="113" w:name="_Toc27767"/>
      <w:bookmarkStart w:id="114" w:name="_Toc29648"/>
      <w:bookmarkStart w:id="115" w:name="_Toc8940"/>
      <w:bookmarkStart w:id="116" w:name="_Toc17741"/>
      <w:bookmarkStart w:id="117" w:name="_Toc8083"/>
      <w:bookmarkStart w:id="118" w:name="_Toc757"/>
      <w:bookmarkStart w:id="119" w:name="_Toc24107"/>
      <w:bookmarkStart w:id="120" w:name="_Toc24655"/>
      <w:bookmarkStart w:id="121" w:name="_Toc8348"/>
      <w:bookmarkStart w:id="122" w:name="_Toc1454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5840"/>
      <w:bookmarkStart w:id="124" w:name="_Toc24280"/>
      <w:bookmarkStart w:id="125" w:name="_Toc8524"/>
      <w:bookmarkStart w:id="126" w:name="_Toc15917"/>
      <w:bookmarkStart w:id="127" w:name="_Toc10945"/>
      <w:bookmarkStart w:id="128" w:name="_Toc12682"/>
      <w:bookmarkStart w:id="129" w:name="_Toc10950"/>
      <w:bookmarkStart w:id="130" w:name="_Toc2003"/>
      <w:bookmarkStart w:id="131" w:name="_Toc10308"/>
      <w:bookmarkStart w:id="132" w:name="_Toc22243"/>
      <w:bookmarkStart w:id="133" w:name="_Toc14781"/>
      <w:bookmarkStart w:id="134" w:name="_Toc20745"/>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9A46"/>
    <w:multiLevelType w:val="singleLevel"/>
    <w:tmpl w:val="01789A46"/>
    <w:lvl w:ilvl="0" w:tentative="0">
      <w:start w:val="1"/>
      <w:numFmt w:val="decimal"/>
      <w:suff w:val="nothing"/>
      <w:lvlText w:val="%1."/>
      <w:lvlJc w:val="left"/>
      <w:pPr>
        <w:ind w:left="454" w:hanging="454"/>
      </w:pPr>
      <w:rPr>
        <w:rFonts w:hint="default"/>
      </w:rPr>
    </w:lvl>
  </w:abstractNum>
  <w:abstractNum w:abstractNumId="1">
    <w:nsid w:val="51016291"/>
    <w:multiLevelType w:val="singleLevel"/>
    <w:tmpl w:val="51016291"/>
    <w:lvl w:ilvl="0" w:tentative="0">
      <w:start w:val="1"/>
      <w:numFmt w:val="chineseCounting"/>
      <w:suff w:val="nothing"/>
      <w:lvlText w:val="%1、"/>
      <w:lvlJc w:val="left"/>
      <w:rPr>
        <w:rFonts w:hint="eastAsia"/>
      </w:rPr>
    </w:lvl>
  </w:abstractNum>
  <w:abstractNum w:abstractNumId="2">
    <w:nsid w:val="7C492C57"/>
    <w:multiLevelType w:val="singleLevel"/>
    <w:tmpl w:val="7C492C57"/>
    <w:lvl w:ilvl="0" w:tentative="0">
      <w:start w:val="1"/>
      <w:numFmt w:val="decimal"/>
      <w:suff w:val="nothing"/>
      <w:lvlText w:val="%1."/>
      <w:lvlJc w:val="left"/>
      <w:pPr>
        <w:ind w:left="454" w:hanging="45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62C6"/>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29E52CF"/>
    <w:rsid w:val="07953CAB"/>
    <w:rsid w:val="07B925A7"/>
    <w:rsid w:val="0B7F770C"/>
    <w:rsid w:val="0BF815CE"/>
    <w:rsid w:val="0C6266C1"/>
    <w:rsid w:val="0C716207"/>
    <w:rsid w:val="0E911C5D"/>
    <w:rsid w:val="0FD06917"/>
    <w:rsid w:val="103C350A"/>
    <w:rsid w:val="104656F7"/>
    <w:rsid w:val="109013FD"/>
    <w:rsid w:val="10954EC2"/>
    <w:rsid w:val="12A81059"/>
    <w:rsid w:val="14456F80"/>
    <w:rsid w:val="15445F77"/>
    <w:rsid w:val="17CD0B1C"/>
    <w:rsid w:val="195D2073"/>
    <w:rsid w:val="1A37043E"/>
    <w:rsid w:val="2262170C"/>
    <w:rsid w:val="228C2840"/>
    <w:rsid w:val="25644C9D"/>
    <w:rsid w:val="272816FC"/>
    <w:rsid w:val="27C42904"/>
    <w:rsid w:val="28203DA9"/>
    <w:rsid w:val="2E8A7141"/>
    <w:rsid w:val="307D687A"/>
    <w:rsid w:val="33BC6502"/>
    <w:rsid w:val="357C4381"/>
    <w:rsid w:val="364F4E7F"/>
    <w:rsid w:val="365344A5"/>
    <w:rsid w:val="396510AC"/>
    <w:rsid w:val="3B4C1295"/>
    <w:rsid w:val="3D2B34C1"/>
    <w:rsid w:val="3ED3727D"/>
    <w:rsid w:val="405F3E1B"/>
    <w:rsid w:val="40EE5E6B"/>
    <w:rsid w:val="41065270"/>
    <w:rsid w:val="41EE0E8D"/>
    <w:rsid w:val="44DA14CD"/>
    <w:rsid w:val="486E11CC"/>
    <w:rsid w:val="48983A5D"/>
    <w:rsid w:val="4A5E7EC0"/>
    <w:rsid w:val="4AE36A9A"/>
    <w:rsid w:val="4B7A520A"/>
    <w:rsid w:val="4EE10A0C"/>
    <w:rsid w:val="511B173F"/>
    <w:rsid w:val="51CB3FD0"/>
    <w:rsid w:val="54407E70"/>
    <w:rsid w:val="5536063D"/>
    <w:rsid w:val="55B75F0E"/>
    <w:rsid w:val="55F211D3"/>
    <w:rsid w:val="577B25E6"/>
    <w:rsid w:val="58535569"/>
    <w:rsid w:val="5C452678"/>
    <w:rsid w:val="5C5C1607"/>
    <w:rsid w:val="5C7C0F06"/>
    <w:rsid w:val="5FEC0FA4"/>
    <w:rsid w:val="61DB5EE7"/>
    <w:rsid w:val="62FA0171"/>
    <w:rsid w:val="637366D0"/>
    <w:rsid w:val="63E72E68"/>
    <w:rsid w:val="64ED5044"/>
    <w:rsid w:val="65C660EF"/>
    <w:rsid w:val="65DA011F"/>
    <w:rsid w:val="66D20681"/>
    <w:rsid w:val="672843F4"/>
    <w:rsid w:val="69EF0691"/>
    <w:rsid w:val="6A052BEC"/>
    <w:rsid w:val="6A38583D"/>
    <w:rsid w:val="6C0F1984"/>
    <w:rsid w:val="6C3C2942"/>
    <w:rsid w:val="6CAC0A51"/>
    <w:rsid w:val="6CF82393"/>
    <w:rsid w:val="701306BF"/>
    <w:rsid w:val="710D63F2"/>
    <w:rsid w:val="71C813F5"/>
    <w:rsid w:val="71D57369"/>
    <w:rsid w:val="732B1655"/>
    <w:rsid w:val="74D66230"/>
    <w:rsid w:val="75233D75"/>
    <w:rsid w:val="77490A08"/>
    <w:rsid w:val="78BA1DAC"/>
    <w:rsid w:val="799A6260"/>
    <w:rsid w:val="7AA159BD"/>
    <w:rsid w:val="7B777280"/>
    <w:rsid w:val="7BC74393"/>
    <w:rsid w:val="7DFC578F"/>
    <w:rsid w:val="7EE24117"/>
    <w:rsid w:val="7F350078"/>
    <w:rsid w:val="7FA7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5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杨燕</cp:lastModifiedBy>
  <dcterms:modified xsi:type="dcterms:W3CDTF">2024-03-01T02:02:06Z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