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3"/>
        <w:keepNext w:val="0"/>
        <w:keepLines w:val="0"/>
        <w:shd w:val="clear"/>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3"/>
        <w:keepNext w:val="0"/>
        <w:keepLines w:val="0"/>
        <w:shd w:val="clear"/>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否则其响应文件作无效响应处理。“*”符号的条款为本项目的重要参数条款，未标识符号的条款为一般参数条款。</w:t>
      </w:r>
    </w:p>
    <w:p>
      <w:pPr>
        <w:pStyle w:val="3"/>
        <w:numPr>
          <w:ilvl w:val="0"/>
          <w:numId w:val="1"/>
        </w:numPr>
        <w:shd w:val="clear"/>
        <w:spacing w:after="0" w:line="360" w:lineRule="auto"/>
        <w:ind w:firstLine="236" w:firstLineChars="98"/>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采购项目编号：SCFY-YXZB202403-003（单）</w:t>
      </w:r>
    </w:p>
    <w:p>
      <w:pPr>
        <w:pStyle w:val="3"/>
        <w:numPr>
          <w:ilvl w:val="0"/>
          <w:numId w:val="1"/>
        </w:numPr>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年度采购</w:t>
      </w:r>
      <w:r>
        <w:rPr>
          <w:rFonts w:hint="eastAsia" w:ascii="宋体" w:hAnsi="宋体" w:eastAsia="宋体" w:cs="仿宋"/>
          <w:sz w:val="24"/>
          <w:szCs w:val="24"/>
        </w:rPr>
        <w:t>预算：11</w:t>
      </w:r>
      <w:r>
        <w:rPr>
          <w:rFonts w:hint="eastAsia" w:ascii="宋体" w:hAnsi="宋体" w:eastAsia="宋体" w:cs="仿宋"/>
          <w:sz w:val="24"/>
          <w:szCs w:val="24"/>
          <w:lang w:val="en-US" w:eastAsia="zh-CN"/>
        </w:rPr>
        <w:t>.</w:t>
      </w:r>
      <w:bookmarkStart w:id="1" w:name="_GoBack"/>
      <w:bookmarkEnd w:id="1"/>
      <w:r>
        <w:rPr>
          <w:rFonts w:hint="eastAsia" w:ascii="宋体" w:hAnsi="宋体" w:eastAsia="宋体" w:cs="仿宋"/>
          <w:sz w:val="24"/>
          <w:szCs w:val="24"/>
        </w:rPr>
        <w:t>985万元</w:t>
      </w:r>
      <w:r>
        <w:rPr>
          <w:rFonts w:hint="eastAsia" w:ascii="宋体" w:hAnsi="宋体" w:eastAsia="宋体" w:cs="仿宋"/>
          <w:sz w:val="24"/>
          <w:szCs w:val="24"/>
          <w:lang w:val="en-US" w:eastAsia="zh-CN"/>
        </w:rPr>
        <w:t>/年</w:t>
      </w:r>
    </w:p>
    <w:bookmarkEnd w:id="0"/>
    <w:p>
      <w:pPr>
        <w:pStyle w:val="3"/>
        <w:numPr>
          <w:ilvl w:val="0"/>
          <w:numId w:val="1"/>
        </w:numPr>
        <w:shd w:val="clear"/>
        <w:spacing w:after="0" w:line="360" w:lineRule="auto"/>
        <w:ind w:left="0" w:leftChars="0" w:firstLine="236" w:firstLineChars="98"/>
        <w:rPr>
          <w:rFonts w:hint="eastAsia" w:ascii="宋体" w:hAnsi="宋体" w:eastAsia="宋体" w:cs="仿宋"/>
          <w:sz w:val="24"/>
          <w:szCs w:val="24"/>
        </w:rPr>
      </w:pPr>
      <w:r>
        <w:rPr>
          <w:rFonts w:hint="eastAsia" w:ascii="宋体" w:hAnsi="宋体" w:eastAsia="宋体" w:cs="仿宋"/>
          <w:sz w:val="24"/>
          <w:szCs w:val="24"/>
        </w:rPr>
        <w:t>项目清单及技术要求：</w:t>
      </w:r>
    </w:p>
    <w:tbl>
      <w:tblPr>
        <w:tblStyle w:val="9"/>
        <w:tblW w:w="54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592"/>
        <w:gridCol w:w="1247"/>
        <w:gridCol w:w="1247"/>
        <w:gridCol w:w="1402"/>
        <w:gridCol w:w="5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23" w:type="pct"/>
            <w:vMerge w:val="restart"/>
            <w:noWrap w:val="0"/>
            <w:vAlign w:val="center"/>
          </w:tcPr>
          <w:p>
            <w:pPr>
              <w:shd w:val="clear"/>
              <w:spacing w:line="420" w:lineRule="exact"/>
              <w:jc w:val="center"/>
              <w:rPr>
                <w:rFonts w:hint="eastAsia" w:cs="宋体"/>
                <w:color w:val="000000"/>
                <w:kern w:val="0"/>
                <w:lang w:val="en-US" w:eastAsia="zh-CN"/>
              </w:rPr>
            </w:pPr>
            <w:r>
              <w:rPr>
                <w:rFonts w:hint="eastAsia" w:cs="宋体"/>
                <w:color w:val="000000"/>
                <w:kern w:val="0"/>
                <w:lang w:val="en-US" w:eastAsia="zh-CN"/>
              </w:rPr>
              <w:t>项目清单及</w:t>
            </w:r>
          </w:p>
          <w:p>
            <w:pPr>
              <w:shd w:val="clear"/>
              <w:spacing w:line="420" w:lineRule="exact"/>
              <w:jc w:val="center"/>
              <w:rPr>
                <w:rFonts w:hint="eastAsia" w:eastAsia="宋体"/>
                <w:color w:val="000000"/>
                <w:lang w:val="en-US" w:eastAsia="zh-CN"/>
              </w:rPr>
            </w:pPr>
            <w:r>
              <w:rPr>
                <w:rFonts w:hint="eastAsia" w:cs="宋体"/>
                <w:color w:val="000000"/>
                <w:kern w:val="0"/>
              </w:rPr>
              <w:t>技术参</w:t>
            </w:r>
            <w:r>
              <w:rPr>
                <w:rFonts w:hint="eastAsia" w:cs="宋体"/>
                <w:color w:val="000000"/>
                <w:kern w:val="0"/>
                <w:lang w:val="en-US" w:eastAsia="zh-CN"/>
              </w:rPr>
              <w:t>数</w:t>
            </w:r>
          </w:p>
        </w:tc>
        <w:tc>
          <w:tcPr>
            <w:tcW w:w="271" w:type="pct"/>
            <w:noWrap w:val="0"/>
            <w:vAlign w:val="center"/>
          </w:tcPr>
          <w:p>
            <w:pPr>
              <w:shd w:val="clear"/>
              <w:autoSpaceDE w:val="0"/>
              <w:autoSpaceDN w:val="0"/>
              <w:jc w:val="center"/>
              <w:rPr>
                <w:rFonts w:ascii="宋体" w:hAnsi="宋体"/>
                <w:b/>
                <w:sz w:val="18"/>
                <w:szCs w:val="18"/>
              </w:rPr>
            </w:pPr>
            <w:r>
              <w:rPr>
                <w:rFonts w:hint="eastAsia" w:ascii="宋体" w:hAnsi="宋体"/>
                <w:b/>
                <w:sz w:val="18"/>
                <w:szCs w:val="18"/>
              </w:rPr>
              <w:t>序号</w:t>
            </w:r>
          </w:p>
        </w:tc>
        <w:tc>
          <w:tcPr>
            <w:tcW w:w="572" w:type="pct"/>
            <w:noWrap w:val="0"/>
            <w:vAlign w:val="center"/>
          </w:tcPr>
          <w:p>
            <w:pPr>
              <w:shd w:val="clear"/>
              <w:autoSpaceDE w:val="0"/>
              <w:autoSpaceDN w:val="0"/>
              <w:jc w:val="center"/>
              <w:rPr>
                <w:rFonts w:ascii="宋体" w:hAnsi="宋体"/>
                <w:b/>
                <w:sz w:val="18"/>
                <w:szCs w:val="18"/>
              </w:rPr>
            </w:pPr>
            <w:r>
              <w:rPr>
                <w:rFonts w:ascii="宋体" w:hAnsi="宋体"/>
                <w:b/>
                <w:sz w:val="18"/>
                <w:szCs w:val="18"/>
              </w:rPr>
              <w:t>产品名称</w:t>
            </w:r>
          </w:p>
        </w:tc>
        <w:tc>
          <w:tcPr>
            <w:tcW w:w="572" w:type="pct"/>
            <w:noWrap w:val="0"/>
            <w:vAlign w:val="center"/>
          </w:tcPr>
          <w:p>
            <w:pPr>
              <w:shd w:val="clear"/>
              <w:autoSpaceDE w:val="0"/>
              <w:autoSpaceDN w:val="0"/>
              <w:jc w:val="center"/>
              <w:rPr>
                <w:rFonts w:hint="default" w:ascii="宋体" w:hAnsi="宋体" w:eastAsia="宋体"/>
                <w:b/>
                <w:sz w:val="18"/>
                <w:szCs w:val="18"/>
                <w:lang w:val="en-US" w:eastAsia="zh-CN"/>
              </w:rPr>
            </w:pPr>
            <w:r>
              <w:rPr>
                <w:rFonts w:hint="eastAsia" w:ascii="宋体" w:hAnsi="宋体"/>
                <w:b/>
                <w:sz w:val="18"/>
                <w:szCs w:val="18"/>
                <w:lang w:val="en-US" w:eastAsia="zh-CN"/>
              </w:rPr>
              <w:t>预算单价</w:t>
            </w:r>
          </w:p>
        </w:tc>
        <w:tc>
          <w:tcPr>
            <w:tcW w:w="644" w:type="pct"/>
            <w:noWrap w:val="0"/>
            <w:vAlign w:val="center"/>
          </w:tcPr>
          <w:p>
            <w:pPr>
              <w:shd w:val="clear"/>
              <w:autoSpaceDE w:val="0"/>
              <w:autoSpaceDN w:val="0"/>
              <w:jc w:val="center"/>
              <w:rPr>
                <w:rFonts w:hint="eastAsia" w:ascii="宋体" w:hAnsi="宋体"/>
                <w:b/>
                <w:sz w:val="18"/>
                <w:szCs w:val="18"/>
                <w:lang w:val="en-US" w:eastAsia="zh-CN"/>
              </w:rPr>
            </w:pPr>
            <w:r>
              <w:rPr>
                <w:rFonts w:hint="eastAsia" w:ascii="宋体" w:hAnsi="宋体"/>
                <w:b/>
                <w:sz w:val="18"/>
                <w:szCs w:val="18"/>
              </w:rPr>
              <w:t>预估年</w:t>
            </w:r>
            <w:r>
              <w:rPr>
                <w:rFonts w:hint="eastAsia" w:ascii="宋体" w:hAnsi="宋体"/>
                <w:b/>
                <w:sz w:val="18"/>
                <w:szCs w:val="18"/>
                <w:lang w:val="en-US" w:eastAsia="zh-CN"/>
              </w:rPr>
              <w:t>度</w:t>
            </w:r>
          </w:p>
          <w:p>
            <w:pPr>
              <w:shd w:val="clear"/>
              <w:autoSpaceDE w:val="0"/>
              <w:autoSpaceDN w:val="0"/>
              <w:jc w:val="center"/>
              <w:rPr>
                <w:rFonts w:ascii="宋体" w:hAnsi="宋体"/>
                <w:b/>
                <w:sz w:val="18"/>
                <w:szCs w:val="18"/>
              </w:rPr>
            </w:pPr>
            <w:r>
              <w:rPr>
                <w:rFonts w:hint="eastAsia" w:ascii="宋体" w:hAnsi="宋体"/>
                <w:b/>
                <w:sz w:val="18"/>
                <w:szCs w:val="18"/>
                <w:lang w:val="en-US" w:eastAsia="zh-CN"/>
              </w:rPr>
              <w:t>用</w:t>
            </w:r>
            <w:r>
              <w:rPr>
                <w:rFonts w:hint="eastAsia" w:ascii="宋体" w:hAnsi="宋体"/>
                <w:b/>
                <w:sz w:val="18"/>
                <w:szCs w:val="18"/>
              </w:rPr>
              <w:t>量</w:t>
            </w:r>
          </w:p>
        </w:tc>
        <w:tc>
          <w:tcPr>
            <w:tcW w:w="2614" w:type="pct"/>
            <w:noWrap w:val="0"/>
            <w:vAlign w:val="center"/>
          </w:tcPr>
          <w:p>
            <w:pPr>
              <w:shd w:val="clear"/>
              <w:autoSpaceDE w:val="0"/>
              <w:autoSpaceDN w:val="0"/>
              <w:jc w:val="center"/>
              <w:rPr>
                <w:rFonts w:ascii="宋体" w:hAnsi="宋体"/>
                <w:b/>
                <w:sz w:val="18"/>
                <w:szCs w:val="18"/>
              </w:rPr>
            </w:pPr>
            <w:r>
              <w:rPr>
                <w:rFonts w:ascii="宋体" w:hAnsi="宋体"/>
                <w:b/>
                <w:sz w:val="18"/>
                <w:szCs w:val="1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323" w:type="pct"/>
            <w:vMerge w:val="continue"/>
            <w:noWrap w:val="0"/>
            <w:vAlign w:val="center"/>
          </w:tcPr>
          <w:p>
            <w:pPr>
              <w:shd w:val="clear"/>
              <w:spacing w:line="420" w:lineRule="exact"/>
              <w:jc w:val="center"/>
              <w:rPr>
                <w:rFonts w:hint="eastAsia" w:cs="宋体"/>
                <w:color w:val="000000"/>
                <w:kern w:val="0"/>
              </w:rPr>
            </w:pPr>
          </w:p>
        </w:tc>
        <w:tc>
          <w:tcPr>
            <w:tcW w:w="271" w:type="pct"/>
            <w:noWrap w:val="0"/>
            <w:vAlign w:val="center"/>
          </w:tcPr>
          <w:p>
            <w:pPr>
              <w:autoSpaceDE w:val="0"/>
              <w:autoSpaceDN w:val="0"/>
              <w:jc w:val="center"/>
              <w:rPr>
                <w:rFonts w:ascii="宋体" w:hAnsi="宋体"/>
                <w:kern w:val="2"/>
                <w:sz w:val="21"/>
                <w:szCs w:val="21"/>
                <w:lang w:val="en-US" w:eastAsia="zh-CN" w:bidi="ar-SA"/>
              </w:rPr>
            </w:pPr>
            <w:r>
              <w:rPr>
                <w:rFonts w:hint="eastAsia" w:ascii="宋体" w:hAnsi="宋体"/>
              </w:rPr>
              <w:t>1</w:t>
            </w:r>
          </w:p>
        </w:tc>
        <w:tc>
          <w:tcPr>
            <w:tcW w:w="572" w:type="pct"/>
            <w:noWrap w:val="0"/>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rPr>
              <w:t>明胶海绵颗粒</w:t>
            </w:r>
          </w:p>
        </w:tc>
        <w:tc>
          <w:tcPr>
            <w:tcW w:w="572"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rPr>
              <w:t>1300</w:t>
            </w:r>
          </w:p>
        </w:tc>
        <w:tc>
          <w:tcPr>
            <w:tcW w:w="644"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rPr>
              <w:t>30盒</w:t>
            </w:r>
          </w:p>
        </w:tc>
        <w:tc>
          <w:tcPr>
            <w:tcW w:w="2614" w:type="pct"/>
            <w:noWrap w:val="0"/>
            <w:vAlign w:val="top"/>
          </w:tcPr>
          <w:p>
            <w:pPr>
              <w:pStyle w:val="2"/>
            </w:pPr>
            <w:r>
              <w:rPr>
                <w:rFonts w:hint="eastAsia"/>
              </w:rPr>
              <w:t xml:space="preserve">用途：用于血管内中期栓塞。 </w:t>
            </w:r>
            <w:r>
              <w:t xml:space="preserve">                                                                                                                                                                                                               </w:t>
            </w:r>
          </w:p>
          <w:p>
            <w:pPr>
              <w:pStyle w:val="2"/>
              <w:numPr>
                <w:ilvl w:val="0"/>
                <w:numId w:val="2"/>
              </w:numPr>
            </w:pPr>
            <w:r>
              <w:rPr>
                <w:rFonts w:hint="eastAsia"/>
              </w:rPr>
              <w:t>颗粒直径（μm）：有150-350、350-560、560-710、710-1000、1000-1400、1400-2000等。</w:t>
            </w:r>
          </w:p>
          <w:p>
            <w:pPr>
              <w:pStyle w:val="2"/>
              <w:numPr>
                <w:ilvl w:val="0"/>
                <w:numId w:val="2"/>
              </w:numPr>
            </w:pPr>
            <w:r>
              <w:rPr>
                <w:rFonts w:hint="eastAsia"/>
              </w:rPr>
              <w:t>每瓶内装量：≥100mg。</w:t>
            </w:r>
          </w:p>
          <w:p>
            <w:pPr>
              <w:pStyle w:val="2"/>
              <w:numPr>
                <w:ilvl w:val="0"/>
                <w:numId w:val="2"/>
              </w:numPr>
            </w:pPr>
            <w:r>
              <w:rPr>
                <w:rFonts w:hint="eastAsia"/>
              </w:rPr>
              <w:t>外观：为白色或微黄色质轻而软的多孔海绵颗粒状物。</w:t>
            </w:r>
          </w:p>
          <w:p>
            <w:pPr>
              <w:pStyle w:val="2"/>
              <w:numPr>
                <w:ilvl w:val="0"/>
                <w:numId w:val="2"/>
              </w:numPr>
            </w:pPr>
            <w:r>
              <w:rPr>
                <w:rFonts w:hint="eastAsia"/>
              </w:rPr>
              <w:t>物理性能：不溶于水与乙醇、吸水力不少于供试品量的10倍。</w:t>
            </w:r>
          </w:p>
          <w:p>
            <w:pPr>
              <w:pStyle w:val="2"/>
              <w:numPr>
                <w:ilvl w:val="0"/>
                <w:numId w:val="2"/>
              </w:numPr>
            </w:pPr>
            <w:r>
              <w:rPr>
                <w:rFonts w:hint="eastAsia"/>
              </w:rPr>
              <w:t>化学性能：每100mg产品含游离甲醛不大于50μg、重金属含量≤0.003%。</w:t>
            </w:r>
          </w:p>
          <w:p>
            <w:pPr>
              <w:pStyle w:val="2"/>
              <w:numPr>
                <w:ilvl w:val="0"/>
                <w:numId w:val="2"/>
              </w:numPr>
            </w:pPr>
            <w:r>
              <w:rPr>
                <w:rFonts w:hint="eastAsia"/>
              </w:rPr>
              <w:t>生物性能：无菌，细菌内毒素限量＜0.5EU/mL、细胞毒性轻微（Ⅰ级）、无致敏反应、溶血率≤5%、无全身急性毒性、无皮内刺激反应、无亚慢性毒性、无遗传毒性等。</w:t>
            </w:r>
          </w:p>
          <w:p>
            <w:pPr>
              <w:pStyle w:val="2"/>
              <w:numPr>
                <w:ilvl w:val="0"/>
                <w:numId w:val="2"/>
              </w:numPr>
              <w:rPr>
                <w:rFonts w:hint="default" w:ascii="宋体" w:hAnsi="宋体" w:eastAsia="宋体" w:cs="宋体"/>
                <w:kern w:val="2"/>
                <w:sz w:val="21"/>
                <w:szCs w:val="21"/>
                <w:lang w:val="en-US" w:eastAsia="zh-CN" w:bidi="ar-SA"/>
              </w:rPr>
            </w:pPr>
            <w:r>
              <w:rPr>
                <w:rFonts w:hint="eastAsia"/>
              </w:rPr>
              <w:t>符合GB/T 16175-2008规定，植入材料在90天内全部降解。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323" w:type="pct"/>
            <w:vMerge w:val="continue"/>
            <w:noWrap w:val="0"/>
            <w:vAlign w:val="center"/>
          </w:tcPr>
          <w:p>
            <w:pPr>
              <w:shd w:val="clear"/>
              <w:spacing w:line="420" w:lineRule="exact"/>
              <w:jc w:val="center"/>
              <w:rPr>
                <w:rFonts w:hint="eastAsia" w:cs="宋体"/>
                <w:color w:val="000000"/>
                <w:kern w:val="0"/>
              </w:rPr>
            </w:pPr>
          </w:p>
        </w:tc>
        <w:tc>
          <w:tcPr>
            <w:tcW w:w="271" w:type="pct"/>
            <w:noWrap w:val="0"/>
            <w:vAlign w:val="center"/>
          </w:tcPr>
          <w:p>
            <w:pPr>
              <w:autoSpaceDE w:val="0"/>
              <w:autoSpaceDN w:val="0"/>
              <w:jc w:val="center"/>
              <w:rPr>
                <w:rFonts w:hint="eastAsia" w:ascii="宋体" w:hAnsi="宋体" w:eastAsia="宋体"/>
                <w:sz w:val="21"/>
                <w:szCs w:val="21"/>
                <w:lang w:val="en-US" w:eastAsia="zh-CN"/>
              </w:rPr>
            </w:pPr>
            <w:r>
              <w:rPr>
                <w:rFonts w:hint="eastAsia" w:ascii="宋体" w:hAnsi="宋体"/>
              </w:rPr>
              <w:t>2</w:t>
            </w:r>
          </w:p>
        </w:tc>
        <w:tc>
          <w:tcPr>
            <w:tcW w:w="572"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rPr>
              <w:t>止血器</w:t>
            </w:r>
          </w:p>
        </w:tc>
        <w:tc>
          <w:tcPr>
            <w:tcW w:w="572"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rPr>
              <w:t>300</w:t>
            </w:r>
          </w:p>
        </w:tc>
        <w:tc>
          <w:tcPr>
            <w:tcW w:w="644"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rPr>
              <w:t>70个</w:t>
            </w:r>
          </w:p>
        </w:tc>
        <w:tc>
          <w:tcPr>
            <w:tcW w:w="2614" w:type="pct"/>
            <w:noWrap w:val="0"/>
            <w:vAlign w:val="top"/>
          </w:tcPr>
          <w:p>
            <w:pPr>
              <w:pStyle w:val="2"/>
            </w:pPr>
            <w:r>
              <w:rPr>
                <w:rFonts w:hint="eastAsia"/>
              </w:rPr>
              <w:t>用途：用于股动脉或桡动脉穿刺后压迫止血。 </w:t>
            </w:r>
          </w:p>
          <w:p>
            <w:pPr>
              <w:pStyle w:val="2"/>
              <w:numPr>
                <w:ilvl w:val="0"/>
                <w:numId w:val="3"/>
              </w:numPr>
            </w:pPr>
            <w:r>
              <w:rPr>
                <w:rFonts w:hint="eastAsia"/>
              </w:rPr>
              <w:t>原料为医用级高分子材料，具有较高的生物相容性，使用安全。</w:t>
            </w:r>
          </w:p>
          <w:p>
            <w:pPr>
              <w:pStyle w:val="2"/>
              <w:numPr>
                <w:ilvl w:val="0"/>
                <w:numId w:val="3"/>
              </w:numPr>
            </w:pPr>
            <w:r>
              <w:rPr>
                <w:rFonts w:hint="eastAsia"/>
              </w:rPr>
              <w:t>螺旋手柄应转动灵活，在使用状态下无卡滞、卡死、滑牙现象，弹簧和连杆表面无油迹和生锈等现象。</w:t>
            </w:r>
          </w:p>
          <w:p>
            <w:pPr>
              <w:pStyle w:val="2"/>
              <w:numPr>
                <w:ilvl w:val="0"/>
                <w:numId w:val="3"/>
              </w:numPr>
            </w:pPr>
            <w:r>
              <w:rPr>
                <w:rFonts w:hint="eastAsia"/>
              </w:rPr>
              <w:t>螺旋手柄可以快速加压止血。</w:t>
            </w:r>
          </w:p>
          <w:p>
            <w:pPr>
              <w:pStyle w:val="2"/>
            </w:pPr>
            <w:r>
              <w:rPr>
                <w:rFonts w:hint="eastAsia"/>
              </w:rPr>
              <w:t>4.  用自粘绷带固定，确保止血器牢固不位移。绷带在承受 ≥100N的拉力时，粘合部位无拉脱、绷带无断裂现象。</w:t>
            </w:r>
          </w:p>
          <w:p>
            <w:pPr>
              <w:pStyle w:val="2"/>
            </w:pPr>
            <w:r>
              <w:rPr>
                <w:rFonts w:hint="eastAsia"/>
              </w:rPr>
              <w:t xml:space="preserve">5.  基板在加压的过程中，固定带能够紧贴腿部且不晃动。 </w:t>
            </w:r>
          </w:p>
          <w:p>
            <w:pPr>
              <w:pStyle w:val="2"/>
            </w:pPr>
            <w:r>
              <w:rPr>
                <w:rFonts w:hint="eastAsia"/>
              </w:rPr>
              <w:t>6.  桡动脉压迫器可以伸缩，能满足绝大多数患者手腕粗细的个性化需求。</w:t>
            </w:r>
          </w:p>
          <w:p>
            <w:pPr>
              <w:pStyle w:val="2"/>
            </w:pPr>
            <w:r>
              <w:rPr>
                <w:rFonts w:hint="eastAsia"/>
              </w:rPr>
              <w:t>7.  桡动脉压迫器螺旋手柄有刻度和方向箭头方便医务人员观察和操作。</w:t>
            </w:r>
          </w:p>
          <w:p>
            <w:pPr>
              <w:pStyle w:val="2"/>
            </w:pPr>
            <w:r>
              <w:rPr>
                <w:rFonts w:hint="eastAsia"/>
              </w:rPr>
              <w:t>8. 桡动脉压迫器为透明材料，可以清晰观察出血点。</w:t>
            </w:r>
          </w:p>
          <w:p>
            <w:r>
              <w:rPr>
                <w:rFonts w:hint="eastAsia"/>
              </w:rPr>
              <w:t>▲9. 至少对股动脉和桡动脉两种规格报价。</w:t>
            </w:r>
          </w:p>
          <w:p>
            <w:pPr>
              <w:pStyle w:val="2"/>
              <w:rPr>
                <w:rFonts w:hint="default"/>
                <w:lang w:val="en-US" w:eastAsia="zh-CN"/>
              </w:rPr>
            </w:pPr>
            <w:r>
              <w:rPr>
                <w:rFonts w:hint="eastAsia"/>
              </w:rPr>
              <w:t>备注: 以上打▲号的条款为本次招标项目的实质性要求，不允许有负偏离。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323" w:type="pct"/>
            <w:vMerge w:val="continue"/>
            <w:noWrap w:val="0"/>
            <w:vAlign w:val="center"/>
          </w:tcPr>
          <w:p>
            <w:pPr>
              <w:shd w:val="clear"/>
              <w:spacing w:line="420" w:lineRule="exact"/>
              <w:jc w:val="center"/>
              <w:rPr>
                <w:rFonts w:hint="eastAsia" w:cs="宋体"/>
                <w:color w:val="000000"/>
                <w:kern w:val="0"/>
              </w:rPr>
            </w:pPr>
          </w:p>
        </w:tc>
        <w:tc>
          <w:tcPr>
            <w:tcW w:w="271" w:type="pct"/>
            <w:noWrap w:val="0"/>
            <w:vAlign w:val="center"/>
          </w:tcPr>
          <w:p>
            <w:pPr>
              <w:autoSpaceDE w:val="0"/>
              <w:autoSpaceDN w:val="0"/>
              <w:jc w:val="center"/>
              <w:rPr>
                <w:rFonts w:hint="eastAsia" w:ascii="宋体" w:hAnsi="宋体" w:eastAsia="宋体"/>
                <w:sz w:val="21"/>
                <w:szCs w:val="21"/>
                <w:lang w:val="en-US" w:eastAsia="zh-CN"/>
              </w:rPr>
            </w:pPr>
            <w:r>
              <w:rPr>
                <w:rFonts w:hint="eastAsia" w:ascii="宋体" w:hAnsi="宋体"/>
              </w:rPr>
              <w:t>3</w:t>
            </w:r>
          </w:p>
        </w:tc>
        <w:tc>
          <w:tcPr>
            <w:tcW w:w="572"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rPr>
              <w:t>弹簧圈</w:t>
            </w:r>
          </w:p>
        </w:tc>
        <w:tc>
          <w:tcPr>
            <w:tcW w:w="572"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rPr>
              <w:t>1900</w:t>
            </w:r>
          </w:p>
        </w:tc>
        <w:tc>
          <w:tcPr>
            <w:tcW w:w="644"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rPr>
              <w:t>10个</w:t>
            </w:r>
          </w:p>
        </w:tc>
        <w:tc>
          <w:tcPr>
            <w:tcW w:w="2614" w:type="pct"/>
            <w:noWrap w:val="0"/>
            <w:vAlign w:val="top"/>
          </w:tcPr>
          <w:p>
            <w:pPr>
              <w:pStyle w:val="2"/>
            </w:pPr>
            <w:r>
              <w:rPr>
                <w:rFonts w:hint="eastAsia"/>
              </w:rPr>
              <w:t>用途：用于临床不同手术不同栓塞需求。</w:t>
            </w:r>
          </w:p>
          <w:p>
            <w:pPr>
              <w:pStyle w:val="2"/>
              <w:numPr>
                <w:ilvl w:val="0"/>
                <w:numId w:val="4"/>
              </w:numPr>
              <w:rPr>
                <w:color w:val="auto"/>
              </w:rPr>
            </w:pPr>
            <w:r>
              <w:rPr>
                <w:color w:val="auto"/>
              </w:rPr>
              <w:t>产品</w:t>
            </w:r>
            <w:r>
              <w:rPr>
                <w:rFonts w:hint="eastAsia"/>
                <w:color w:val="auto"/>
              </w:rPr>
              <w:t>直径</w:t>
            </w:r>
            <w:r>
              <w:rPr>
                <w:color w:val="auto"/>
              </w:rPr>
              <w:t>0.018"-0.035</w:t>
            </w:r>
            <w:r>
              <w:rPr>
                <w:rFonts w:hint="eastAsia"/>
                <w:color w:val="auto"/>
              </w:rPr>
              <w:t>。</w:t>
            </w:r>
          </w:p>
          <w:p>
            <w:pPr>
              <w:pStyle w:val="2"/>
              <w:numPr>
                <w:ilvl w:val="0"/>
                <w:numId w:val="4"/>
              </w:numPr>
            </w:pPr>
            <w:r>
              <w:rPr>
                <w:rFonts w:hint="eastAsia"/>
              </w:rPr>
              <w:t>能提供多种形状，如：多环、塔形、钻石、鸟巢、8字、直型、螺旋型等。</w:t>
            </w:r>
          </w:p>
          <w:p>
            <w:pPr>
              <w:pStyle w:val="2"/>
              <w:numPr>
                <w:ilvl w:val="0"/>
                <w:numId w:val="4"/>
              </w:numPr>
            </w:pPr>
            <w:r>
              <w:rPr>
                <w:rFonts w:hint="eastAsia"/>
              </w:rPr>
              <w:t xml:space="preserve">成型直径0.5mm-11mm. </w:t>
            </w:r>
          </w:p>
          <w:p>
            <w:pPr>
              <w:pStyle w:val="2"/>
              <w:numPr>
                <w:ilvl w:val="0"/>
                <w:numId w:val="4"/>
              </w:numPr>
              <w:rPr>
                <w:rFonts w:hint="default"/>
                <w:lang w:val="en-US" w:eastAsia="zh-CN"/>
              </w:rPr>
            </w:pPr>
            <w:r>
              <w:rPr>
                <w:rFonts w:hint="eastAsia"/>
              </w:rPr>
              <w:t>能兼容3.0T以下核磁共振检查。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323" w:type="pct"/>
            <w:vMerge w:val="continue"/>
            <w:noWrap w:val="0"/>
            <w:vAlign w:val="center"/>
          </w:tcPr>
          <w:p>
            <w:pPr>
              <w:shd w:val="clear"/>
              <w:spacing w:line="420" w:lineRule="exact"/>
              <w:jc w:val="center"/>
              <w:rPr>
                <w:rFonts w:hint="eastAsia" w:cs="宋体"/>
                <w:color w:val="000000"/>
                <w:kern w:val="0"/>
              </w:rPr>
            </w:pPr>
          </w:p>
        </w:tc>
        <w:tc>
          <w:tcPr>
            <w:tcW w:w="271" w:type="pct"/>
            <w:noWrap w:val="0"/>
            <w:vAlign w:val="center"/>
          </w:tcPr>
          <w:p>
            <w:pPr>
              <w:autoSpaceDE w:val="0"/>
              <w:autoSpaceDN w:val="0"/>
              <w:jc w:val="center"/>
              <w:rPr>
                <w:rFonts w:hint="eastAsia" w:ascii="宋体" w:hAnsi="宋体" w:eastAsia="宋体"/>
                <w:sz w:val="21"/>
                <w:szCs w:val="21"/>
                <w:lang w:val="en-US" w:eastAsia="zh-CN"/>
              </w:rPr>
            </w:pPr>
            <w:r>
              <w:rPr>
                <w:rFonts w:hint="eastAsia" w:ascii="宋体" w:hAnsi="宋体"/>
              </w:rPr>
              <w:t>4</w:t>
            </w:r>
          </w:p>
        </w:tc>
        <w:tc>
          <w:tcPr>
            <w:tcW w:w="572"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rPr>
              <w:t>腔静脉滤器</w:t>
            </w:r>
          </w:p>
        </w:tc>
        <w:tc>
          <w:tcPr>
            <w:tcW w:w="572"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rPr>
              <w:t>19000</w:t>
            </w:r>
          </w:p>
        </w:tc>
        <w:tc>
          <w:tcPr>
            <w:tcW w:w="644"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rPr>
              <w:t>2套</w:t>
            </w:r>
          </w:p>
        </w:tc>
        <w:tc>
          <w:tcPr>
            <w:tcW w:w="2614" w:type="pct"/>
            <w:noWrap w:val="0"/>
            <w:vAlign w:val="top"/>
          </w:tcPr>
          <w:p>
            <w:pPr>
              <w:pStyle w:val="2"/>
            </w:pPr>
            <w:r>
              <w:rPr>
                <w:rFonts w:hint="eastAsia"/>
              </w:rPr>
              <w:t>用途：用于临时/永久置于下腔静脉，预防肺动脉栓塞。</w:t>
            </w:r>
          </w:p>
          <w:p>
            <w:pPr>
              <w:pStyle w:val="2"/>
              <w:numPr>
                <w:ilvl w:val="0"/>
                <w:numId w:val="5"/>
              </w:numPr>
            </w:pPr>
            <w:r>
              <w:rPr>
                <w:rFonts w:hint="eastAsia"/>
              </w:rPr>
              <w:t>菱形结构适易放置，6F输送系统，滤器直径≤32mm，长度55mm。</w:t>
            </w:r>
          </w:p>
          <w:p>
            <w:pPr>
              <w:pStyle w:val="2"/>
              <w:numPr>
                <w:ilvl w:val="0"/>
                <w:numId w:val="5"/>
              </w:numPr>
            </w:pPr>
            <w:r>
              <w:rPr>
                <w:rFonts w:hint="eastAsia"/>
              </w:rPr>
              <w:t>由腔静脉滤器、输送钢缆、输送鞘、导引鞘和10F回收鞘等组成。</w:t>
            </w:r>
          </w:p>
          <w:p>
            <w:pPr>
              <w:pStyle w:val="2"/>
              <w:numPr>
                <w:ilvl w:val="0"/>
                <w:numId w:val="5"/>
              </w:numPr>
            </w:pPr>
            <w:r>
              <w:rPr>
                <w:rFonts w:hint="eastAsia"/>
              </w:rPr>
              <w:t>有固定锚倒刺设计，防止位移，滤器释放过程可控制。</w:t>
            </w:r>
          </w:p>
          <w:p>
            <w:pPr>
              <w:pStyle w:val="2"/>
              <w:numPr>
                <w:ilvl w:val="0"/>
                <w:numId w:val="5"/>
              </w:numPr>
              <w:rPr>
                <w:rFonts w:hint="default" w:ascii="宋体" w:hAnsi="宋体" w:eastAsia="宋体" w:cs="宋体"/>
                <w:kern w:val="2"/>
                <w:sz w:val="21"/>
                <w:szCs w:val="21"/>
                <w:lang w:val="en-US" w:eastAsia="zh-CN" w:bidi="ar-SA"/>
              </w:rPr>
            </w:pPr>
            <w:r>
              <w:rPr>
                <w:rFonts w:hint="eastAsia"/>
              </w:rPr>
              <w:t>满足14天或3个月窗口期。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323" w:type="pct"/>
            <w:vMerge w:val="continue"/>
            <w:noWrap w:val="0"/>
            <w:vAlign w:val="center"/>
          </w:tcPr>
          <w:p>
            <w:pPr>
              <w:shd w:val="clear"/>
              <w:spacing w:line="420" w:lineRule="exact"/>
              <w:jc w:val="center"/>
              <w:rPr>
                <w:rFonts w:hint="eastAsia" w:cs="宋体"/>
                <w:color w:val="000000"/>
                <w:kern w:val="0"/>
              </w:rPr>
            </w:pPr>
          </w:p>
        </w:tc>
        <w:tc>
          <w:tcPr>
            <w:tcW w:w="271" w:type="pct"/>
            <w:noWrap w:val="0"/>
            <w:vAlign w:val="center"/>
          </w:tcPr>
          <w:p>
            <w:pPr>
              <w:autoSpaceDE w:val="0"/>
              <w:autoSpaceDN w:val="0"/>
              <w:jc w:val="center"/>
              <w:rPr>
                <w:rFonts w:hint="eastAsia" w:ascii="宋体" w:hAnsi="宋体" w:eastAsia="宋体"/>
                <w:sz w:val="21"/>
                <w:szCs w:val="21"/>
                <w:lang w:val="en-US" w:eastAsia="zh-CN"/>
              </w:rPr>
            </w:pPr>
            <w:r>
              <w:rPr>
                <w:rFonts w:hint="eastAsia" w:ascii="宋体" w:hAnsi="宋体"/>
              </w:rPr>
              <w:t>5</w:t>
            </w:r>
          </w:p>
        </w:tc>
        <w:tc>
          <w:tcPr>
            <w:tcW w:w="572"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rPr>
              <w:t>封堵止血系统</w:t>
            </w:r>
          </w:p>
        </w:tc>
        <w:tc>
          <w:tcPr>
            <w:tcW w:w="572"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rPr>
              <w:t>2850</w:t>
            </w:r>
          </w:p>
        </w:tc>
        <w:tc>
          <w:tcPr>
            <w:tcW w:w="644"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rPr>
              <w:t>1根</w:t>
            </w:r>
          </w:p>
        </w:tc>
        <w:tc>
          <w:tcPr>
            <w:tcW w:w="2614" w:type="pct"/>
            <w:noWrap w:val="0"/>
            <w:vAlign w:val="top"/>
          </w:tcPr>
          <w:p>
            <w:pPr>
              <w:pStyle w:val="2"/>
            </w:pPr>
            <w:r>
              <w:rPr>
                <w:rFonts w:hint="eastAsia"/>
              </w:rPr>
              <w:t>用途：用于股动脉穿刺点止血，减少穿刺点并发症发生，降低止血和制动时间。</w:t>
            </w:r>
          </w:p>
          <w:p>
            <w:pPr>
              <w:pStyle w:val="2"/>
              <w:numPr>
                <w:ilvl w:val="0"/>
                <w:numId w:val="6"/>
              </w:numPr>
            </w:pPr>
            <w:r>
              <w:rPr>
                <w:rFonts w:hint="eastAsia"/>
              </w:rPr>
              <w:t>至少有5/6/7F三个规格。</w:t>
            </w:r>
          </w:p>
          <w:p>
            <w:pPr>
              <w:pStyle w:val="2"/>
              <w:numPr>
                <w:ilvl w:val="0"/>
                <w:numId w:val="6"/>
              </w:numPr>
              <w:rPr>
                <w:rFonts w:hint="default"/>
                <w:lang w:val="en-US" w:eastAsia="zh-CN"/>
              </w:rPr>
            </w:pPr>
            <w:r>
              <w:rPr>
                <w:rFonts w:hint="eastAsia"/>
              </w:rPr>
              <w:t>插塞可降减吸收，不影响二次穿刺。</w:t>
            </w:r>
          </w:p>
        </w:tc>
      </w:tr>
    </w:tbl>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四</w:t>
      </w:r>
      <w:r>
        <w:rPr>
          <w:rFonts w:hint="eastAsia" w:ascii="宋体" w:hAnsi="宋体" w:eastAsia="宋体" w:cs="仿宋"/>
          <w:sz w:val="24"/>
          <w:szCs w:val="24"/>
        </w:rPr>
        <w:t>、项目要求</w:t>
      </w:r>
    </w:p>
    <w:p>
      <w:pPr>
        <w:pStyle w:val="2"/>
        <w:rPr>
          <w:rFonts w:hint="eastAsia" w:ascii="Times New Roman" w:hAnsi="Times New Roman" w:eastAsia="宋体" w:cs="Times New Roman"/>
          <w:lang w:eastAsia="zh-CN"/>
        </w:rPr>
      </w:pPr>
      <w:r>
        <w:rPr>
          <w:rFonts w:hint="eastAsia" w:ascii="Times New Roman" w:hAnsi="Times New Roman" w:eastAsia="宋体" w:cs="Times New Roman"/>
        </w:rPr>
        <w:t>▲1.供应商投标产品</w:t>
      </w:r>
      <w:r>
        <w:rPr>
          <w:rFonts w:hint="eastAsia" w:ascii="Times New Roman" w:hAnsi="Times New Roman" w:eastAsia="宋体" w:cs="Times New Roman"/>
          <w:lang w:eastAsia="zh-CN"/>
        </w:rPr>
        <w:t>若为Ⅱ、Ⅲ类医疗器械</w:t>
      </w:r>
      <w:r>
        <w:rPr>
          <w:rFonts w:hint="eastAsia" w:ascii="Times New Roman" w:hAnsi="Times New Roman" w:eastAsia="宋体" w:cs="Times New Roman"/>
          <w:lang w:val="en-US" w:eastAsia="zh-CN"/>
        </w:rPr>
        <w:t>和具有医疗器械注册证或备案凭证的体外诊断试剂</w:t>
      </w:r>
      <w:r>
        <w:rPr>
          <w:rFonts w:hint="eastAsia" w:ascii="Times New Roman" w:hAnsi="Times New Roman" w:eastAsia="宋体" w:cs="Times New Roman"/>
          <w:lang w:eastAsia="zh-CN"/>
        </w:rPr>
        <w:t>，则</w:t>
      </w:r>
      <w:r>
        <w:rPr>
          <w:rFonts w:hint="eastAsia" w:ascii="Times New Roman" w:hAnsi="Times New Roman" w:eastAsia="宋体" w:cs="Times New Roman"/>
        </w:rPr>
        <w:t>必须为四川省药械集中采购及医药价格监管平台挂网公示产品,并提供挂网商品代码（</w:t>
      </w:r>
      <w:r>
        <w:rPr>
          <w:rFonts w:hint="eastAsia" w:ascii="Times New Roman" w:hAnsi="Times New Roman" w:eastAsia="宋体" w:cs="Times New Roman"/>
          <w:b/>
          <w:bCs/>
        </w:rPr>
        <w:t>已经挂网的需要提供集采平台挂网截图</w:t>
      </w:r>
      <w:r>
        <w:rPr>
          <w:rFonts w:hint="eastAsia" w:ascii="Times New Roman" w:hAnsi="Times New Roman" w:eastAsia="宋体" w:cs="Times New Roman"/>
        </w:rPr>
        <w:t>）</w:t>
      </w:r>
      <w:r>
        <w:rPr>
          <w:rFonts w:hint="eastAsia" w:ascii="Times New Roman" w:hAnsi="Times New Roman" w:eastAsia="宋体" w:cs="Times New Roman"/>
          <w:lang w:eastAsia="zh-CN"/>
        </w:rPr>
        <w:t>。</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2</w:t>
      </w:r>
      <w:r>
        <w:rPr>
          <w:rFonts w:hint="eastAsia" w:ascii="Times New Roman" w:hAnsi="Times New Roman" w:eastAsia="宋体" w:cs="Times New Roman"/>
        </w:rPr>
        <w:t>.供货期限：3年，采购数量以实际使用量为准。</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3</w:t>
      </w:r>
      <w:r>
        <w:rPr>
          <w:rFonts w:hint="eastAsia" w:ascii="Times New Roman" w:hAnsi="Times New Roman" w:eastAsia="宋体" w:cs="Times New Roman"/>
        </w:rPr>
        <w:t>.合同结算：本项目的“预估</w:t>
      </w:r>
      <w:r>
        <w:rPr>
          <w:rFonts w:hint="eastAsia" w:ascii="Times New Roman" w:hAnsi="Times New Roman" w:eastAsia="宋体" w:cs="Times New Roman"/>
          <w:lang w:val="en-US" w:eastAsia="zh-CN"/>
        </w:rPr>
        <w:t>年度用</w:t>
      </w:r>
      <w:r>
        <w:rPr>
          <w:rFonts w:hint="eastAsia" w:ascii="Times New Roman" w:hAnsi="Times New Roman" w:eastAsia="宋体" w:cs="Times New Roman"/>
        </w:rPr>
        <w:t>量”、 供应商的“投标总价”仅做为报价评审依据，最终根据实际需求进行相应调整，结算以实际发生量乘以供应商</w:t>
      </w:r>
      <w:r>
        <w:rPr>
          <w:rFonts w:hint="eastAsia" w:ascii="Times New Roman" w:hAnsi="Times New Roman" w:eastAsia="宋体" w:cs="Times New Roman"/>
          <w:lang w:val="en-US" w:eastAsia="zh-CN"/>
        </w:rPr>
        <w:t>挂网单价（未挂网按</w:t>
      </w:r>
      <w:r>
        <w:rPr>
          <w:rFonts w:hint="eastAsia" w:ascii="Times New Roman" w:hAnsi="Times New Roman" w:eastAsia="宋体" w:cs="Times New Roman"/>
        </w:rPr>
        <w:t>投标单价</w:t>
      </w:r>
      <w:r>
        <w:rPr>
          <w:rFonts w:hint="eastAsia" w:ascii="Times New Roman" w:hAnsi="Times New Roman" w:eastAsia="宋体" w:cs="Times New Roman"/>
          <w:lang w:val="en-US" w:eastAsia="zh-CN"/>
        </w:rPr>
        <w:t>）</w:t>
      </w:r>
      <w:r>
        <w:rPr>
          <w:rFonts w:hint="eastAsia" w:ascii="Times New Roman" w:hAnsi="Times New Roman" w:eastAsia="宋体" w:cs="Times New Roman"/>
        </w:rPr>
        <w:t>结算。</w:t>
      </w:r>
    </w:p>
    <w:p>
      <w:pPr>
        <w:widowControl/>
        <w:shd w:val="clear" w:color="auto"/>
        <w:wordWrap w:val="0"/>
        <w:spacing w:line="500" w:lineRule="exact"/>
        <w:jc w:val="left"/>
        <w:rPr>
          <w:rFonts w:hint="eastAsia" w:ascii="仿宋" w:hAnsi="仿宋" w:eastAsia="仿宋" w:cs="Segoe UI"/>
          <w:color w:val="000000" w:themeColor="text1"/>
          <w:spacing w:val="8"/>
          <w:kern w:val="0"/>
          <w:sz w:val="24"/>
          <w:szCs w:val="24"/>
        </w:rPr>
      </w:pPr>
      <w:r>
        <w:rPr>
          <w:rFonts w:hint="eastAsia" w:ascii="仿宋" w:hAnsi="仿宋" w:eastAsia="仿宋" w:cs="Segoe UI"/>
          <w:color w:val="000000" w:themeColor="text1"/>
          <w:spacing w:val="8"/>
          <w:kern w:val="0"/>
          <w:sz w:val="24"/>
          <w:szCs w:val="24"/>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附件3：采购报价文件书装订顺序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4、规格型号、配置及偏离表（格式见附件4）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5、承诺函（格式见附件4）</w:t>
      </w:r>
      <w:r>
        <w:rPr>
          <w:rFonts w:hint="eastAsia" w:ascii="仿宋_GB2312" w:hAnsi="Segoe UI" w:eastAsia="仿宋_GB2312" w:cs="Segoe UI"/>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6、企业营业执照（复印件）</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w:t>
      </w:r>
      <w:r>
        <w:rPr>
          <w:rFonts w:hint="eastAsia" w:ascii="仿宋_GB2312" w:hAnsi="Segoe UI" w:eastAsia="仿宋_GB2312" w:cs="Segoe UI"/>
          <w:color w:val="000000" w:themeColor="text1"/>
          <w:kern w:val="0"/>
          <w:sz w:val="24"/>
          <w:szCs w:val="24"/>
        </w:rPr>
        <w:t>组织机构代码证、税务登记证（复印件）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8、法定代表人授权书（原件，格式见附件4）暨经办人授权书，法定代表人、经办人身份证（复印件）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9、生产厂家授权书（投标人不是生产厂家的）</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10、如是医疗器械，须提供“中华人民共和国医疗器械生产企业许可证”和“中华人民共和国医疗器械经营企业许可证”（复印件）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11、如是医疗器械，须提供“医疗器械产品注册证和注册登记表”（复印件）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12、如有产品质量和企业管理体系认证（考核），请提供的有效证明文件的复印或扫描件，质量管理体系认证包括FDA、CE、ISO等认证（提供中文翻译复印件）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14、如有其他证书：产品在技术、节能、安全、环保和自主创新方面获得的认证证书或制造厂家和产品所获国家级荣誉称号等复印或扫描件</w:t>
      </w:r>
      <w:r>
        <w:rPr>
          <w:rFonts w:hint="eastAsia" w:ascii="Segoe UI" w:hAnsi="Segoe UI" w:eastAsia="宋体" w:cs="Segoe UI"/>
          <w:color w:val="000000" w:themeColor="text1"/>
          <w:kern w:val="0"/>
          <w:sz w:val="18"/>
          <w:szCs w:val="18"/>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15、产品如有执行标准请提供相应资料（提供产品注册标准：YZB等资料供评审）</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16、产品质量及货源保证书</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firstLineChars="20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17、售后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18、如有，提供进口原材料证明书或产品报关资料等</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19、产品说明书或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20、业绩证明文件（用户名单及联系人与联系方式，格式见附件4），并提供相应证明文件，要求见评分办法“业绩”说明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21、如有</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国家规定的其它相关资质证明文件或其它涉及特许经营许可的须提供相关证书</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如：卫生许可证、药品经营许可证、生产批件或新药证书等</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22、</w:t>
      </w:r>
      <w:r>
        <w:rPr>
          <w:rFonts w:hint="eastAsia" w:ascii="仿宋_GB2312" w:hAnsi="Segoe UI" w:eastAsia="仿宋_GB2312" w:cs="Segoe UI"/>
          <w:color w:val="000000" w:themeColor="text1"/>
          <w:spacing w:val="8"/>
          <w:kern w:val="0"/>
          <w:sz w:val="24"/>
          <w:szCs w:val="24"/>
        </w:rPr>
        <w:t>如有</w:t>
      </w:r>
      <w:r>
        <w:rPr>
          <w:rFonts w:hint="eastAsia" w:ascii="仿宋_GB2312" w:hAnsi="Segoe UI" w:eastAsia="仿宋_GB2312" w:cs="Segoe UI"/>
          <w:color w:val="000000" w:themeColor="text1"/>
          <w:spacing w:val="8"/>
          <w:kern w:val="0"/>
          <w:sz w:val="24"/>
          <w:szCs w:val="24"/>
          <w:lang w:eastAsia="zh-CN"/>
        </w:rPr>
        <w:t>，</w:t>
      </w:r>
      <w:r>
        <w:rPr>
          <w:rFonts w:hint="eastAsia" w:ascii="仿宋_GB2312" w:hAnsi="Segoe UI" w:eastAsia="仿宋_GB2312" w:cs="Segoe UI"/>
          <w:color w:val="000000" w:themeColor="text1"/>
          <w:spacing w:val="8"/>
          <w:kern w:val="0"/>
          <w:sz w:val="24"/>
          <w:szCs w:val="24"/>
          <w:lang w:val="en-US" w:eastAsia="zh-CN"/>
        </w:rPr>
        <w:t>提</w:t>
      </w:r>
      <w:r>
        <w:rPr>
          <w:rFonts w:hint="eastAsia" w:ascii="仿宋_GB2312" w:hAnsi="Segoe UI" w:eastAsia="仿宋_GB2312" w:cs="Segoe UI"/>
          <w:color w:val="000000" w:themeColor="text1"/>
          <w:kern w:val="0"/>
          <w:sz w:val="24"/>
          <w:szCs w:val="24"/>
        </w:rPr>
        <w:t>供集采平台挂网截图</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23、经办人</w:t>
      </w:r>
      <w:r>
        <w:rPr>
          <w:rFonts w:hint="eastAsia" w:ascii="仿宋_GB2312" w:hAnsi="Segoe UI" w:eastAsia="仿宋_GB2312" w:cs="Segoe UI"/>
          <w:color w:val="000000" w:themeColor="text1"/>
          <w:kern w:val="0"/>
          <w:sz w:val="24"/>
          <w:szCs w:val="24"/>
        </w:rPr>
        <w:t>社保缴纳证明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24、反商业贿赂承诺书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25、无围标、串标行为承诺书（格式见附件6）；</w:t>
      </w:r>
    </w:p>
    <w:p>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26、供应商遵守招标采购纪律承诺书（格式件附件7）；</w:t>
      </w:r>
    </w:p>
    <w:p>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27、</w:t>
      </w:r>
      <w:r>
        <w:rPr>
          <w:rFonts w:hint="eastAsia" w:ascii="仿宋_GB2312" w:hAnsi="Segoe UI" w:eastAsia="仿宋_GB2312" w:cs="Segoe UI"/>
          <w:color w:val="000000" w:themeColor="text1"/>
          <w:kern w:val="0"/>
          <w:sz w:val="24"/>
          <w:szCs w:val="24"/>
        </w:rPr>
        <w:t>封底。</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shd w:val="clear" w:color="auto"/>
        <w:wordWrap w:val="0"/>
        <w:jc w:val="left"/>
        <w:rPr>
          <w:rFonts w:ascii="Segoe UI" w:hAnsi="Segoe UI" w:eastAsia="宋体" w:cs="Segoe UI"/>
          <w:color w:val="000000" w:themeColor="text1"/>
          <w:kern w:val="0"/>
          <w:sz w:val="18"/>
          <w:szCs w:val="18"/>
        </w:rPr>
      </w:pPr>
    </w:p>
    <w:p>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技术要求偏离表</w:t>
      </w:r>
    </w:p>
    <w:tbl>
      <w:tblPr>
        <w:tblStyle w:val="9"/>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注：1、此表要求供应商报价文件与采购项目要求一一对应、逐一列出；</w:t>
      </w:r>
    </w:p>
    <w:p>
      <w:pPr>
        <w:widowControl/>
        <w:shd w:val="clear" w:color="auto"/>
        <w:wordWrap w:val="0"/>
        <w:spacing w:line="270" w:lineRule="atLeast"/>
        <w:ind w:firstLine="919" w:firstLineChars="418"/>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2、供应商报价文件中与采购项目要求有负偏离的内容必须在此表中标注，否则视为无效投标。</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3、供应商必须据实填写，不得虚假响应，否则投标无效并按规定追究其相关责任。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服务和商务要求偏离表</w:t>
      </w:r>
    </w:p>
    <w:tbl>
      <w:tblPr>
        <w:tblStyle w:val="9"/>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注：1、供应商报价文件中与采购项目要求有负偏离的内容必须在此表中列出；如未列出，视为全部响应。</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2、供应商必须据实填写，不得虚假响应，否则投标无效并按规定追究其相关责任。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jc w:val="left"/>
        <w:rPr>
          <w:rFonts w:hint="eastAsia" w:ascii="仿宋_GB2312" w:hAnsi="Segoe UI" w:eastAsia="仿宋_GB2312" w:cs="Segoe UI"/>
          <w:color w:val="000000" w:themeColor="text1"/>
          <w:kern w:val="0"/>
          <w:sz w:val="22"/>
        </w:rPr>
      </w:pPr>
    </w:p>
    <w:p>
      <w:pPr>
        <w:widowControl/>
        <w:shd w:val="clear"/>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附件4-3：</w:t>
      </w:r>
    </w:p>
    <w:p>
      <w:pPr>
        <w:pStyle w:val="3"/>
        <w:tabs>
          <w:tab w:val="left" w:pos="720"/>
        </w:tabs>
        <w:spacing w:line="400" w:lineRule="exact"/>
        <w:jc w:val="center"/>
        <w:rPr>
          <w:rFonts w:ascii="仿宋" w:hAnsi="仿宋" w:eastAsia="仿宋" w:cs="仿宋"/>
        </w:rPr>
      </w:pPr>
      <w:r>
        <w:rPr>
          <w:rFonts w:hint="eastAsia" w:ascii="仿宋" w:hAnsi="仿宋" w:eastAsia="仿宋" w:cs="仿宋"/>
          <w:w w:val="95"/>
        </w:rPr>
        <w:t>承诺函</w:t>
      </w:r>
    </w:p>
    <w:p>
      <w:pPr>
        <w:spacing w:line="360" w:lineRule="auto"/>
        <w:outlineLvl w:val="1"/>
        <w:rPr>
          <w:rFonts w:hint="eastAsia" w:ascii="仿宋" w:hAnsi="仿宋" w:eastAsia="仿宋" w:cs="仿宋"/>
          <w:sz w:val="22"/>
        </w:rPr>
      </w:pPr>
      <w:r>
        <w:rPr>
          <w:rFonts w:hint="eastAsia" w:ascii="仿宋" w:hAnsi="仿宋" w:eastAsia="仿宋" w:cs="仿宋"/>
          <w:sz w:val="22"/>
        </w:rPr>
        <w:t>致：</w:t>
      </w:r>
      <w:r>
        <w:rPr>
          <w:rFonts w:hint="eastAsia" w:ascii="仿宋" w:hAnsi="仿宋" w:eastAsia="仿宋" w:cs="仿宋"/>
          <w:sz w:val="22"/>
          <w:u w:val="single"/>
        </w:rPr>
        <w:t>四川省妇幼保健院</w:t>
      </w:r>
    </w:p>
    <w:p>
      <w:pPr>
        <w:spacing w:line="360" w:lineRule="auto"/>
        <w:ind w:firstLine="440" w:firstLineChars="200"/>
        <w:outlineLvl w:val="1"/>
        <w:rPr>
          <w:rFonts w:hint="eastAsia" w:ascii="仿宋" w:hAnsi="仿宋" w:eastAsia="仿宋" w:cs="仿宋"/>
          <w:sz w:val="22"/>
        </w:rPr>
      </w:pPr>
      <w:r>
        <w:rPr>
          <w:rFonts w:hint="eastAsia" w:ascii="仿宋_GB2312" w:hAnsi="Segoe UI" w:eastAsia="仿宋_GB2312" w:cs="Segoe UI"/>
          <w:color w:val="000000" w:themeColor="text1"/>
          <w:kern w:val="0"/>
          <w:sz w:val="22"/>
        </w:rPr>
        <w:t>我方作为本</w:t>
      </w:r>
      <w:r>
        <w:rPr>
          <w:rFonts w:hint="eastAsia" w:ascii="仿宋" w:hAnsi="仿宋" w:eastAsia="仿宋" w:cs="仿宋"/>
          <w:sz w:val="22"/>
        </w:rPr>
        <w:t>次采购项目的供应商，根据文件要求，现郑重承诺如下：</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（1）我公司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独立承担民事责任的能力；</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（2）我公司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良好的商业信誉和健全的财务会计制度；</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（3）我公司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履行合同所必需的设备和专业技术能力；</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（4）我公司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依法缴纳税收和社会保障资金的良好记录；</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（5）参加本次采购活动前三年内，我公司在经营活动中</w:t>
      </w:r>
      <w:r>
        <w:rPr>
          <w:rFonts w:hint="eastAsia" w:ascii="仿宋" w:hAnsi="仿宋" w:eastAsia="仿宋" w:cs="仿宋"/>
          <w:b/>
          <w:sz w:val="22"/>
          <w:u w:val="single"/>
        </w:rPr>
        <w:t>（说明：填写“没有”或“有”）</w:t>
      </w:r>
      <w:r>
        <w:rPr>
          <w:rFonts w:hint="eastAsia" w:ascii="仿宋" w:hAnsi="仿宋" w:eastAsia="仿宋" w:cs="仿宋"/>
          <w:sz w:val="22"/>
        </w:rPr>
        <w:t>重大违法记录(供应商成立不足三年的，从成立之日起计算)；</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（6）我公司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法律、行政法规规定的其他条件</w:t>
      </w:r>
      <w:r>
        <w:rPr>
          <w:rFonts w:hint="eastAsia" w:ascii="仿宋" w:hAnsi="仿宋" w:eastAsia="仿宋" w:cs="仿宋"/>
          <w:color w:val="000000"/>
          <w:sz w:val="22"/>
        </w:rPr>
        <w:t>（本项目无法律、</w:t>
      </w:r>
      <w:r>
        <w:rPr>
          <w:rFonts w:hint="eastAsia" w:ascii="仿宋" w:hAnsi="仿宋" w:eastAsia="仿宋" w:cs="仿宋"/>
          <w:sz w:val="22"/>
        </w:rPr>
        <w:t>行政法规规定的其他条件）；</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（7）我公司</w:t>
      </w:r>
      <w:r>
        <w:rPr>
          <w:rFonts w:hint="eastAsia" w:ascii="仿宋" w:hAnsi="仿宋" w:eastAsia="仿宋" w:cs="仿宋"/>
          <w:b/>
          <w:sz w:val="22"/>
          <w:u w:val="single"/>
        </w:rPr>
        <w:t>（说明：填写“能够”或“不能够”</w:t>
      </w:r>
      <w:r>
        <w:rPr>
          <w:rFonts w:hint="eastAsia" w:ascii="仿宋" w:hAnsi="仿宋" w:eastAsia="仿宋" w:cs="仿宋"/>
          <w:sz w:val="22"/>
          <w:u w:val="single"/>
        </w:rPr>
        <w:t>）</w:t>
      </w:r>
      <w:r>
        <w:rPr>
          <w:rFonts w:hint="eastAsia" w:ascii="仿宋" w:hAnsi="仿宋" w:eastAsia="仿宋" w:cs="仿宋"/>
          <w:sz w:val="22"/>
        </w:rPr>
        <w:t>按照采购人要求及时签署合同，按照购销合同规定的品牌、产地、质量、价格、规格、有效期及时供货。</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（8）我公司所有投标品种报价不高于四川省内其他地市中标价格或医院近两年的历史采购最低价格（受“集采挂网”等国家、地方政策原因影响除外）。</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本公司对上述承诺的内容事项真实性负责。如经查实上述承诺的内容事项存在虚假，我公司愿意接受以提供虚假材料谋取中标追究法律责任。</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bCs/>
          <w:color w:val="000000"/>
          <w:sz w:val="22"/>
        </w:rPr>
        <w:t xml:space="preserve">                      </w:t>
      </w:r>
    </w:p>
    <w:p>
      <w:pPr>
        <w:spacing w:line="360" w:lineRule="auto"/>
        <w:ind w:firstLine="440" w:firstLineChars="200"/>
        <w:rPr>
          <w:rFonts w:hint="eastAsia" w:ascii="仿宋" w:hAnsi="仿宋" w:eastAsia="仿宋" w:cs="仿宋"/>
          <w:sz w:val="22"/>
        </w:rPr>
      </w:pPr>
      <w:r>
        <w:rPr>
          <w:rFonts w:hint="eastAsia" w:ascii="仿宋" w:hAnsi="仿宋" w:eastAsia="仿宋" w:cs="仿宋"/>
          <w:sz w:val="22"/>
        </w:rPr>
        <w:t xml:space="preserve"> 供应商单位名称：</w:t>
      </w:r>
      <w:r>
        <w:rPr>
          <w:rFonts w:hint="eastAsia" w:ascii="仿宋" w:hAnsi="仿宋" w:eastAsia="仿宋" w:cs="仿宋"/>
          <w:sz w:val="22"/>
          <w:u w:val="single"/>
        </w:rPr>
        <w:t xml:space="preserve">                             </w:t>
      </w:r>
      <w:r>
        <w:rPr>
          <w:rFonts w:hint="eastAsia" w:ascii="仿宋" w:hAnsi="仿宋" w:eastAsia="仿宋" w:cs="仿宋"/>
          <w:sz w:val="22"/>
        </w:rPr>
        <w:t>（单位公章）</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法定代表人或授权代表签字：</w:t>
      </w:r>
      <w:r>
        <w:rPr>
          <w:rFonts w:hint="eastAsia" w:ascii="仿宋" w:hAnsi="仿宋" w:eastAsia="仿宋" w:cs="仿宋"/>
          <w:sz w:val="22"/>
          <w:u w:val="single"/>
        </w:rPr>
        <w:t xml:space="preserve">             </w:t>
      </w:r>
      <w:r>
        <w:rPr>
          <w:rFonts w:hint="eastAsia" w:ascii="仿宋" w:hAnsi="仿宋" w:eastAsia="仿宋" w:cs="仿宋"/>
          <w:sz w:val="22"/>
        </w:rPr>
        <w:t>（签字或加盖个人名章）</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日    期：</w:t>
      </w:r>
    </w:p>
    <w:p>
      <w:pPr>
        <w:pStyle w:val="5"/>
        <w:ind w:firstLine="617"/>
        <w:rPr>
          <w:rFonts w:hint="eastAsia" w:ascii="仿宋" w:hAnsi="仿宋" w:eastAsia="仿宋" w:cs="仿宋"/>
          <w:sz w:val="24"/>
        </w:rPr>
      </w:pPr>
    </w:p>
    <w:p>
      <w:pPr>
        <w:pStyle w:val="5"/>
        <w:ind w:firstLine="617"/>
        <w:rPr>
          <w:rFonts w:hint="eastAsia" w:ascii="仿宋" w:hAnsi="仿宋" w:eastAsia="仿宋" w:cs="仿宋"/>
          <w:sz w:val="24"/>
        </w:rPr>
      </w:pPr>
    </w:p>
    <w:p>
      <w:pPr>
        <w:pStyle w:val="5"/>
        <w:ind w:firstLine="617"/>
        <w:rPr>
          <w:rFonts w:hint="eastAsia" w:ascii="仿宋" w:hAnsi="仿宋" w:eastAsia="仿宋" w:cs="仿宋"/>
          <w:sz w:val="24"/>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br w:type="page"/>
      </w:r>
    </w:p>
    <w:p>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p>
    <w:p>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9"/>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720" w:num="1"/>
          <w:docGrid w:type="lines" w:linePitch="312" w:charSpace="0"/>
        </w:sect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附件4-5：</w:t>
      </w:r>
    </w:p>
    <w:p>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9"/>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693"/>
        <w:gridCol w:w="970"/>
        <w:gridCol w:w="970"/>
        <w:gridCol w:w="1252"/>
        <w:gridCol w:w="949"/>
        <w:gridCol w:w="2083"/>
        <w:gridCol w:w="1138"/>
        <w:gridCol w:w="790"/>
      </w:tblGrid>
      <w:tr>
        <w:tblPrEx>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70"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color w:val="000000" w:themeColor="text1"/>
                <w:kern w:val="0"/>
                <w:sz w:val="24"/>
                <w:szCs w:val="24"/>
              </w:rPr>
            </w:pPr>
          </w:p>
          <w:p>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rPr>
              <w:t>备注</w:t>
            </w:r>
          </w:p>
        </w:tc>
      </w:tr>
      <w:tr>
        <w:tblPrEx>
          <w:shd w:val="clear" w:color="auto" w:fill="auto"/>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14168" w:type="dxa"/>
            <w:gridSpan w:val="1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pPr>
        <w:widowControl/>
        <w:shd w:val="clear" w:color="auto"/>
        <w:wordWrap w:val="0"/>
        <w:jc w:val="left"/>
        <w:rPr>
          <w:rFonts w:ascii="仿宋_GB2312" w:hAnsi="Segoe UI" w:eastAsia="仿宋_GB2312" w:cs="Segoe UI"/>
          <w:color w:val="000000" w:themeColor="text1"/>
          <w:kern w:val="0"/>
          <w:sz w:val="24"/>
          <w:szCs w:val="24"/>
        </w:rPr>
      </w:pP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法定代表人或授权代表（签字）：日期：</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720" w:num="1"/>
          <w:docGrid w:type="linesAndChars" w:linePitch="312" w:charSpace="0"/>
        </w:sectPr>
      </w:pPr>
    </w:p>
    <w:p>
      <w:pPr>
        <w:widowControl/>
        <w:shd w:val="clear" w:color="auto"/>
        <w:wordWrap w:val="0"/>
        <w:ind w:left="720" w:hanging="720"/>
        <w:jc w:val="left"/>
        <w:rPr>
          <w:rFonts w:hint="eastAsia" w:ascii="仿宋_GB2312" w:hAnsi="Segoe UI" w:eastAsia="仿宋_GB2312" w:cs="Segoe UI"/>
          <w:b/>
          <w:bCs/>
          <w:color w:val="000000" w:themeColor="text1"/>
          <w:kern w:val="0"/>
          <w:sz w:val="24"/>
          <w:szCs w:val="24"/>
        </w:rPr>
      </w:pPr>
    </w:p>
    <w:p>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被</w:t>
      </w:r>
      <w:r>
        <w:rPr>
          <w:rFonts w:hint="eastAsia" w:ascii="仿宋_GB2312" w:hAnsi="Segoe UI" w:eastAsia="仿宋_GB2312" w:cs="Segoe UI"/>
          <w:color w:val="000000" w:themeColor="text1"/>
          <w:kern w:val="0"/>
          <w:sz w:val="24"/>
          <w:szCs w:val="24"/>
        </w:rPr>
        <w:t>授权代表签字：</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wordWrap w:val="0"/>
        <w:spacing w:line="270" w:lineRule="atLeast"/>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承诺企业名称（公章）法人代表或委托代理人（承诺人）</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胃幽门螺杆菌检测试剂盒）采购活动中，无以下围标、串标行为：</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after="0" w:line="120" w:lineRule="auto"/>
        <w:rPr>
          <w:rFonts w:hint="eastAsia"/>
          <w:sz w:val="28"/>
          <w:szCs w:val="28"/>
        </w:rPr>
      </w:pPr>
    </w:p>
    <w:p>
      <w:pPr>
        <w:pStyle w:val="2"/>
        <w:spacing w:after="0"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r>
        <w:rPr>
          <w:rFonts w:hint="eastAsia" w:ascii="仿宋_GB2312" w:hAnsi="Segoe UI" w:eastAsia="仿宋_GB2312" w:cs="Segoe UI"/>
          <w:b/>
          <w:bCs/>
          <w:color w:val="000000" w:themeColor="text1"/>
          <w:kern w:val="0"/>
          <w:sz w:val="24"/>
          <w:szCs w:val="24"/>
          <w:lang w:val="en-US" w:eastAsia="zh-CN"/>
        </w:rPr>
        <w:t>附件7：供应商遵守招标采购纪律承诺书</w:t>
      </w:r>
    </w:p>
    <w:p>
      <w:pPr>
        <w:pStyle w:val="2"/>
        <w:ind w:firstLine="2811" w:firstLineChars="1000"/>
        <w:jc w:val="left"/>
        <w:rPr>
          <w:rFonts w:hint="eastAsia" w:ascii="仿宋_GB2312" w:hAnsi="仿宋_GB2312" w:eastAsia="仿宋_GB2312" w:cs="仿宋_GB2312"/>
          <w:b/>
          <w:bCs/>
          <w:sz w:val="28"/>
          <w:szCs w:val="28"/>
        </w:rPr>
      </w:pPr>
    </w:p>
    <w:p>
      <w:pPr>
        <w:pStyle w:val="2"/>
        <w:ind w:firstLine="2811" w:firstLineChars="10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sz w:val="28"/>
          <w:szCs w:val="28"/>
        </w:rPr>
        <w:t>供应商遵守招标采购纪律承诺书</w:t>
      </w:r>
      <w:r>
        <w:rPr>
          <w:rFonts w:ascii="FZXBSJW--GB1-0" w:hAnsi="FZXBSJW--GB1-0" w:eastAsia="FZXBSJW--GB1-0" w:cs="FZXBSJW--GB1-0"/>
          <w:b w:val="0"/>
          <w:i w:val="0"/>
          <w:color w:val="000000"/>
          <w:sz w:val="44"/>
          <w:szCs w:val="44"/>
        </w:rPr>
        <w:br w:type="textWrapping"/>
      </w:r>
      <w:r>
        <w:rPr>
          <w:rFonts w:hint="eastAsia" w:ascii="仿宋_GB2312" w:hAnsi="仿宋_GB2312" w:eastAsia="仿宋_GB2312" w:cs="仿宋_GB2312"/>
          <w:kern w:val="2"/>
          <w:sz w:val="28"/>
          <w:szCs w:val="28"/>
          <w:lang w:val="en-US" w:eastAsia="zh-CN" w:bidi="ar-SA"/>
        </w:rPr>
        <w:t>致四川省妇幼保健院：</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我单位作为本次采购项目的供应商，根据响应文件要求，现郑重承诺如下：</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一、参加本次采购活动，我单位不存在与单位负责人为同一人或者存在直接控股、管理关系的其他供应商参与同一合同项下的采购活动的行为。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二、参加本次采购活动，不得直接或者间接从采购人或者采购代理机构处获得其他供应商的相关情况并修改其投标文件或者响应文件。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三、参加本次采购活动，不得按照采购人的授意撤换、修改投标文件或者响应文件。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四、参加本次采购活动，不得和本次采购供应商之间协商报价、技术方案等投标文件或者响应文件的实质性内容。</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五、本次采购活动中，不存在属于同一集团、协会、商会等组织成员的供应商按照该组织要求协同参加本次采购活动。</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六、参加本次采购活动，不存在与其他供应商之间事先约定由某一特定供应商中标、成交。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七、参加本次采购活动，不存在与其他供应商商定部分供应商放弃参加采购活动或者放弃中标、成交。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八、参加本次采购活动，不存在我单位的投标文件或者响应文件由其他参与本项目的单位或个人编制或委托办理投标事宜。</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九、参加本次采购活动，不存在我单位与采购人之间、供应商相互之间，为谋求特定供应商中标、成交或者排斥其他供应商的其他串通行为。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十、与我方存在直接控股关系的单位为：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 存在管理关系单位为：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供应商名称（单位公章）：</w:t>
      </w:r>
    </w:p>
    <w:p>
      <w:pPr>
        <w:pStyle w:val="2"/>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投标人法人代表或委托代理人</w:t>
      </w:r>
      <w:r>
        <w:rPr>
          <w:rFonts w:hint="eastAsia" w:ascii="仿宋_GB2312" w:hAnsi="仿宋_GB2312" w:eastAsia="仿宋_GB2312" w:cs="仿宋_GB2312"/>
          <w:kern w:val="2"/>
          <w:sz w:val="28"/>
          <w:szCs w:val="28"/>
          <w:lang w:val="en-US" w:eastAsia="zh-CN" w:bidi="ar-SA"/>
        </w:rPr>
        <w:t>（签字或加盖个人名章） ：</w:t>
      </w:r>
    </w:p>
    <w:p>
      <w:pPr>
        <w:rPr>
          <w:rFonts w:hint="default"/>
          <w:lang w:val="en-US" w:eastAsia="zh-CN"/>
        </w:rPr>
      </w:pPr>
      <w:r>
        <w:rPr>
          <w:rFonts w:hint="eastAsia" w:ascii="仿宋_GB2312" w:hAnsi="仿宋_GB2312" w:eastAsia="仿宋_GB2312" w:cs="仿宋_GB2312"/>
          <w:kern w:val="2"/>
          <w:sz w:val="28"/>
          <w:szCs w:val="28"/>
          <w:lang w:val="en-US" w:eastAsia="zh-CN" w:bidi="ar-SA"/>
        </w:rPr>
        <w:t xml:space="preserve">    日期：     年    月    日</w:t>
      </w:r>
      <w:r>
        <w:rPr>
          <w:rFonts w:hint="eastAsia" w:ascii="仿宋_GB2312" w:hAnsi="仿宋_GB2312" w:eastAsia="仿宋_GB2312" w:cs="仿宋_GB2312"/>
          <w:kern w:val="2"/>
          <w:sz w:val="28"/>
          <w:szCs w:val="28"/>
          <w:lang w:val="en-US" w:eastAsia="zh-CN" w:bidi="ar-SA"/>
        </w:rPr>
        <w:br w:type="textWrapping"/>
      </w:r>
    </w:p>
    <w:p>
      <w:pPr>
        <w:widowControl/>
        <w:jc w:val="left"/>
        <w:rPr>
          <w:rFonts w:hint="eastAsia" w:ascii="仿宋_GB2312" w:hAnsi="Segoe UI" w:eastAsia="仿宋_GB2312" w:cs="Segoe UI"/>
          <w:b/>
          <w:bCs/>
          <w:color w:val="000000" w:themeColor="text1"/>
          <w:kern w:val="0"/>
          <w:sz w:val="28"/>
          <w:szCs w:val="28"/>
        </w:rPr>
      </w:pPr>
    </w:p>
    <w:p>
      <w:pPr>
        <w:pStyle w:val="2"/>
        <w:spacing w:after="0" w:line="120" w:lineRule="auto"/>
        <w:ind w:firstLine="420" w:firstLineChars="200"/>
        <w:rPr>
          <w:rFonts w:ascii="微软雅黑" w:hAnsi="微软雅黑" w:eastAsia="微软雅黑"/>
        </w:rPr>
      </w:pP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FZXB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UI">
    <w:altName w:val="ksdb"/>
    <w:panose1 w:val="00000000000000000000"/>
    <w:charset w:val="00"/>
    <w:family w:val="auto"/>
    <w:pitch w:val="default"/>
    <w:sig w:usb0="00000000" w:usb1="00000000" w:usb2="00000000" w:usb3="00000000" w:csb0="00000000" w:csb1="00000000"/>
  </w:font>
  <w:font w:name="MicrosoftYaHei">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AF0089"/>
    <w:multiLevelType w:val="singleLevel"/>
    <w:tmpl w:val="EAAF0089"/>
    <w:lvl w:ilvl="0" w:tentative="0">
      <w:start w:val="1"/>
      <w:numFmt w:val="decimal"/>
      <w:suff w:val="space"/>
      <w:lvlText w:val="%1."/>
      <w:lvlJc w:val="left"/>
    </w:lvl>
  </w:abstractNum>
  <w:abstractNum w:abstractNumId="1">
    <w:nsid w:val="3902A9C1"/>
    <w:multiLevelType w:val="singleLevel"/>
    <w:tmpl w:val="3902A9C1"/>
    <w:lvl w:ilvl="0" w:tentative="0">
      <w:start w:val="1"/>
      <w:numFmt w:val="decimal"/>
      <w:suff w:val="space"/>
      <w:lvlText w:val="%1."/>
      <w:lvlJc w:val="left"/>
    </w:lvl>
  </w:abstractNum>
  <w:abstractNum w:abstractNumId="2">
    <w:nsid w:val="51016291"/>
    <w:multiLevelType w:val="singleLevel"/>
    <w:tmpl w:val="51016291"/>
    <w:lvl w:ilvl="0" w:tentative="0">
      <w:start w:val="1"/>
      <w:numFmt w:val="chineseCounting"/>
      <w:suff w:val="nothing"/>
      <w:lvlText w:val="%1、"/>
      <w:lvlJc w:val="left"/>
      <w:rPr>
        <w:rFonts w:hint="eastAsia"/>
      </w:rPr>
    </w:lvl>
  </w:abstractNum>
  <w:abstractNum w:abstractNumId="3">
    <w:nsid w:val="5DED91AC"/>
    <w:multiLevelType w:val="singleLevel"/>
    <w:tmpl w:val="5DED91AC"/>
    <w:lvl w:ilvl="0" w:tentative="0">
      <w:start w:val="1"/>
      <w:numFmt w:val="decimal"/>
      <w:suff w:val="space"/>
      <w:lvlText w:val="%1."/>
      <w:lvlJc w:val="left"/>
    </w:lvl>
  </w:abstractNum>
  <w:abstractNum w:abstractNumId="4">
    <w:nsid w:val="614B419D"/>
    <w:multiLevelType w:val="singleLevel"/>
    <w:tmpl w:val="614B419D"/>
    <w:lvl w:ilvl="0" w:tentative="0">
      <w:start w:val="1"/>
      <w:numFmt w:val="decimal"/>
      <w:suff w:val="space"/>
      <w:lvlText w:val="%1."/>
      <w:lvlJc w:val="left"/>
    </w:lvl>
  </w:abstractNum>
  <w:abstractNum w:abstractNumId="5">
    <w:nsid w:val="7DDC3B82"/>
    <w:multiLevelType w:val="singleLevel"/>
    <w:tmpl w:val="7DDC3B82"/>
    <w:lvl w:ilvl="0" w:tentative="0">
      <w:start w:val="1"/>
      <w:numFmt w:val="decimal"/>
      <w:suff w:val="space"/>
      <w:lvlText w:val="%1."/>
      <w:lvlJc w:val="left"/>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707C6"/>
    <w:rsid w:val="00003C46"/>
    <w:rsid w:val="00036523"/>
    <w:rsid w:val="00041E17"/>
    <w:rsid w:val="0005210B"/>
    <w:rsid w:val="00063CBF"/>
    <w:rsid w:val="0006460C"/>
    <w:rsid w:val="0007165F"/>
    <w:rsid w:val="00076447"/>
    <w:rsid w:val="000A62C9"/>
    <w:rsid w:val="000B16A7"/>
    <w:rsid w:val="000B33B6"/>
    <w:rsid w:val="000C6DE7"/>
    <w:rsid w:val="000D51C8"/>
    <w:rsid w:val="000D5C22"/>
    <w:rsid w:val="000F15ED"/>
    <w:rsid w:val="000F2C83"/>
    <w:rsid w:val="000F6C4B"/>
    <w:rsid w:val="00121958"/>
    <w:rsid w:val="0015585F"/>
    <w:rsid w:val="00155BC2"/>
    <w:rsid w:val="00162B49"/>
    <w:rsid w:val="00164168"/>
    <w:rsid w:val="00186325"/>
    <w:rsid w:val="001A358F"/>
    <w:rsid w:val="001A45DB"/>
    <w:rsid w:val="001B0588"/>
    <w:rsid w:val="001F7BFA"/>
    <w:rsid w:val="002159C8"/>
    <w:rsid w:val="002235A9"/>
    <w:rsid w:val="002304B6"/>
    <w:rsid w:val="00241D90"/>
    <w:rsid w:val="0024392F"/>
    <w:rsid w:val="002458CC"/>
    <w:rsid w:val="00252A2B"/>
    <w:rsid w:val="00256247"/>
    <w:rsid w:val="00263BB6"/>
    <w:rsid w:val="002657E6"/>
    <w:rsid w:val="00277FFD"/>
    <w:rsid w:val="00281139"/>
    <w:rsid w:val="00284914"/>
    <w:rsid w:val="002960DF"/>
    <w:rsid w:val="002A4A21"/>
    <w:rsid w:val="002A62FC"/>
    <w:rsid w:val="002B3E93"/>
    <w:rsid w:val="002C20D0"/>
    <w:rsid w:val="002D24A3"/>
    <w:rsid w:val="002E7BA2"/>
    <w:rsid w:val="00302391"/>
    <w:rsid w:val="00307257"/>
    <w:rsid w:val="00316715"/>
    <w:rsid w:val="00316EEA"/>
    <w:rsid w:val="00320483"/>
    <w:rsid w:val="00321286"/>
    <w:rsid w:val="00332D2D"/>
    <w:rsid w:val="00336183"/>
    <w:rsid w:val="003571ED"/>
    <w:rsid w:val="003734AF"/>
    <w:rsid w:val="0037764A"/>
    <w:rsid w:val="00381F4A"/>
    <w:rsid w:val="003876DE"/>
    <w:rsid w:val="00397AC3"/>
    <w:rsid w:val="003A312B"/>
    <w:rsid w:val="003A3A68"/>
    <w:rsid w:val="003B1083"/>
    <w:rsid w:val="003B1285"/>
    <w:rsid w:val="003C4FCB"/>
    <w:rsid w:val="003E2E35"/>
    <w:rsid w:val="003E3434"/>
    <w:rsid w:val="003E665F"/>
    <w:rsid w:val="003F176C"/>
    <w:rsid w:val="00406001"/>
    <w:rsid w:val="00434647"/>
    <w:rsid w:val="004850A0"/>
    <w:rsid w:val="004858FC"/>
    <w:rsid w:val="004A1DE7"/>
    <w:rsid w:val="004A2082"/>
    <w:rsid w:val="004C5D3B"/>
    <w:rsid w:val="004C7E04"/>
    <w:rsid w:val="004E0E8C"/>
    <w:rsid w:val="005023C7"/>
    <w:rsid w:val="00507FB6"/>
    <w:rsid w:val="00550E49"/>
    <w:rsid w:val="0059496F"/>
    <w:rsid w:val="005A7995"/>
    <w:rsid w:val="005B3408"/>
    <w:rsid w:val="005B593C"/>
    <w:rsid w:val="005D4626"/>
    <w:rsid w:val="005D627E"/>
    <w:rsid w:val="005D6503"/>
    <w:rsid w:val="005E36E0"/>
    <w:rsid w:val="005F5AC4"/>
    <w:rsid w:val="00606C2A"/>
    <w:rsid w:val="006250B9"/>
    <w:rsid w:val="0063492D"/>
    <w:rsid w:val="00661D00"/>
    <w:rsid w:val="00665D29"/>
    <w:rsid w:val="006A56E6"/>
    <w:rsid w:val="006A7032"/>
    <w:rsid w:val="006D2087"/>
    <w:rsid w:val="006D28BF"/>
    <w:rsid w:val="006E17CC"/>
    <w:rsid w:val="006E6BF8"/>
    <w:rsid w:val="006F1D17"/>
    <w:rsid w:val="006F4692"/>
    <w:rsid w:val="00741E5D"/>
    <w:rsid w:val="00742662"/>
    <w:rsid w:val="00750633"/>
    <w:rsid w:val="00751F96"/>
    <w:rsid w:val="0076295F"/>
    <w:rsid w:val="00770044"/>
    <w:rsid w:val="00786FE7"/>
    <w:rsid w:val="00791562"/>
    <w:rsid w:val="00796FF5"/>
    <w:rsid w:val="007A5851"/>
    <w:rsid w:val="007E11FD"/>
    <w:rsid w:val="007E4559"/>
    <w:rsid w:val="007E77B5"/>
    <w:rsid w:val="008062CE"/>
    <w:rsid w:val="00811EB2"/>
    <w:rsid w:val="0082423B"/>
    <w:rsid w:val="00825C34"/>
    <w:rsid w:val="0086528E"/>
    <w:rsid w:val="00874646"/>
    <w:rsid w:val="008822B5"/>
    <w:rsid w:val="008901D0"/>
    <w:rsid w:val="008B5574"/>
    <w:rsid w:val="008D1D02"/>
    <w:rsid w:val="008D3189"/>
    <w:rsid w:val="008E10FB"/>
    <w:rsid w:val="008E1E35"/>
    <w:rsid w:val="008F1F97"/>
    <w:rsid w:val="008F33B5"/>
    <w:rsid w:val="0090737B"/>
    <w:rsid w:val="00957EA6"/>
    <w:rsid w:val="009707C6"/>
    <w:rsid w:val="00983065"/>
    <w:rsid w:val="00984A3E"/>
    <w:rsid w:val="009C7A99"/>
    <w:rsid w:val="009E6749"/>
    <w:rsid w:val="009F38DE"/>
    <w:rsid w:val="00A03A46"/>
    <w:rsid w:val="00A24650"/>
    <w:rsid w:val="00A40F3D"/>
    <w:rsid w:val="00A43AC7"/>
    <w:rsid w:val="00A53116"/>
    <w:rsid w:val="00A7660C"/>
    <w:rsid w:val="00AB088A"/>
    <w:rsid w:val="00AB50EC"/>
    <w:rsid w:val="00AD55E2"/>
    <w:rsid w:val="00AF07A7"/>
    <w:rsid w:val="00B20393"/>
    <w:rsid w:val="00B228A5"/>
    <w:rsid w:val="00B35C7B"/>
    <w:rsid w:val="00B3676A"/>
    <w:rsid w:val="00B51372"/>
    <w:rsid w:val="00B5786B"/>
    <w:rsid w:val="00B70FF7"/>
    <w:rsid w:val="00BA3D43"/>
    <w:rsid w:val="00BB0CDF"/>
    <w:rsid w:val="00BE3FF0"/>
    <w:rsid w:val="00C120B3"/>
    <w:rsid w:val="00C14414"/>
    <w:rsid w:val="00C22901"/>
    <w:rsid w:val="00C276BD"/>
    <w:rsid w:val="00C324A1"/>
    <w:rsid w:val="00C37F08"/>
    <w:rsid w:val="00C50D05"/>
    <w:rsid w:val="00C7687B"/>
    <w:rsid w:val="00C86058"/>
    <w:rsid w:val="00C87403"/>
    <w:rsid w:val="00CC54C3"/>
    <w:rsid w:val="00CD4966"/>
    <w:rsid w:val="00D13C86"/>
    <w:rsid w:val="00D1796F"/>
    <w:rsid w:val="00D328AF"/>
    <w:rsid w:val="00D4407F"/>
    <w:rsid w:val="00D61608"/>
    <w:rsid w:val="00D64722"/>
    <w:rsid w:val="00D649C7"/>
    <w:rsid w:val="00D73E00"/>
    <w:rsid w:val="00D865FE"/>
    <w:rsid w:val="00DA31F3"/>
    <w:rsid w:val="00DA6E70"/>
    <w:rsid w:val="00DA7B43"/>
    <w:rsid w:val="00DD1D05"/>
    <w:rsid w:val="00DE770F"/>
    <w:rsid w:val="00DF55ED"/>
    <w:rsid w:val="00E023C8"/>
    <w:rsid w:val="00E1317D"/>
    <w:rsid w:val="00E3255E"/>
    <w:rsid w:val="00E509B1"/>
    <w:rsid w:val="00E85AF3"/>
    <w:rsid w:val="00EA4B19"/>
    <w:rsid w:val="00EA53C6"/>
    <w:rsid w:val="00EF0A5D"/>
    <w:rsid w:val="00EF7D43"/>
    <w:rsid w:val="00F03B87"/>
    <w:rsid w:val="00F0757B"/>
    <w:rsid w:val="00F23FE0"/>
    <w:rsid w:val="00F65786"/>
    <w:rsid w:val="00F726DE"/>
    <w:rsid w:val="00F74D2E"/>
    <w:rsid w:val="00F80E52"/>
    <w:rsid w:val="00F812A2"/>
    <w:rsid w:val="00FA5EAB"/>
    <w:rsid w:val="00FB0A1E"/>
    <w:rsid w:val="00FB78A5"/>
    <w:rsid w:val="00FE5E1A"/>
    <w:rsid w:val="00FE68DB"/>
    <w:rsid w:val="04D14AC5"/>
    <w:rsid w:val="04FF1778"/>
    <w:rsid w:val="0939427D"/>
    <w:rsid w:val="0EF6796D"/>
    <w:rsid w:val="133C2F75"/>
    <w:rsid w:val="1A3D0D9C"/>
    <w:rsid w:val="1CFC41C4"/>
    <w:rsid w:val="235632C3"/>
    <w:rsid w:val="264D7A9F"/>
    <w:rsid w:val="26C84FCD"/>
    <w:rsid w:val="27994EB5"/>
    <w:rsid w:val="34BD0A25"/>
    <w:rsid w:val="3B511E81"/>
    <w:rsid w:val="440A651B"/>
    <w:rsid w:val="47CB3CB6"/>
    <w:rsid w:val="48DC2185"/>
    <w:rsid w:val="4C2F3C73"/>
    <w:rsid w:val="4D421824"/>
    <w:rsid w:val="4FF343D6"/>
    <w:rsid w:val="53467BEB"/>
    <w:rsid w:val="598F0681"/>
    <w:rsid w:val="5C434BEC"/>
    <w:rsid w:val="5E0B7A06"/>
    <w:rsid w:val="5E892B2C"/>
    <w:rsid w:val="5EE457B5"/>
    <w:rsid w:val="61C24D19"/>
    <w:rsid w:val="70136FDB"/>
    <w:rsid w:val="7AAC48A2"/>
    <w:rsid w:val="7C0A2A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Body Text Indent 2"/>
    <w:basedOn w:val="1"/>
    <w:semiHidden/>
    <w:unhideWhenUsed/>
    <w:qFormat/>
    <w:uiPriority w:val="99"/>
    <w:pPr>
      <w:spacing w:after="120" w:line="480" w:lineRule="auto"/>
      <w:ind w:left="420" w:leftChars="200"/>
    </w:p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页眉 Char"/>
    <w:basedOn w:val="11"/>
    <w:link w:val="7"/>
    <w:semiHidden/>
    <w:qFormat/>
    <w:uiPriority w:val="99"/>
    <w:rPr>
      <w:sz w:val="18"/>
      <w:szCs w:val="18"/>
    </w:rPr>
  </w:style>
  <w:style w:type="character" w:customStyle="1" w:styleId="13">
    <w:name w:val="页脚 Char"/>
    <w:basedOn w:val="11"/>
    <w:link w:val="6"/>
    <w:semiHidden/>
    <w:qFormat/>
    <w:uiPriority w:val="99"/>
    <w:rPr>
      <w:sz w:val="18"/>
      <w:szCs w:val="18"/>
    </w:rPr>
  </w:style>
  <w:style w:type="paragraph" w:customStyle="1" w:styleId="14">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15">
    <w:name w:val="List Paragraph"/>
    <w:basedOn w:val="1"/>
    <w:qFormat/>
    <w:uiPriority w:val="34"/>
    <w:pPr>
      <w:ind w:firstLine="420" w:firstLineChars="200"/>
    </w:pPr>
  </w:style>
  <w:style w:type="paragraph" w:customStyle="1" w:styleId="16">
    <w:name w:val="Char"/>
    <w:basedOn w:val="1"/>
    <w:qFormat/>
    <w:uiPriority w:val="0"/>
    <w:rPr>
      <w:rFonts w:ascii="Tahoma" w:hAnsi="Tahoma" w:eastAsia="宋体" w:cs="Times New Roman"/>
      <w:sz w:val="30"/>
      <w:szCs w:val="30"/>
    </w:rPr>
  </w:style>
  <w:style w:type="character" w:customStyle="1" w:styleId="17">
    <w:name w:val="fontstyle01"/>
    <w:basedOn w:val="11"/>
    <w:uiPriority w:val="0"/>
    <w:rPr>
      <w:rFonts w:ascii="SegoeUI" w:hAnsi="SegoeUI" w:eastAsia="SegoeUI" w:cs="SegoeUI"/>
      <w:color w:val="333333"/>
      <w:sz w:val="16"/>
      <w:szCs w:val="16"/>
    </w:rPr>
  </w:style>
  <w:style w:type="character" w:customStyle="1" w:styleId="18">
    <w:name w:val="fontstyle11"/>
    <w:basedOn w:val="11"/>
    <w:uiPriority w:val="0"/>
    <w:rPr>
      <w:rFonts w:ascii="MicrosoftYaHei" w:hAnsi="MicrosoftYaHei" w:eastAsia="MicrosoftYaHei" w:cs="MicrosoftYaHei"/>
      <w:color w:val="333333"/>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561</Words>
  <Characters>3203</Characters>
  <Lines>26</Lines>
  <Paragraphs>7</Paragraphs>
  <TotalTime>2</TotalTime>
  <ScaleCrop>false</ScaleCrop>
  <LinksUpToDate>false</LinksUpToDate>
  <CharactersWithSpaces>3757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2019-11-29T09:32:00Z</dcterms:created>
  <dc:creator>a</dc:creator>
  <cp:lastModifiedBy>卢</cp:lastModifiedBy>
  <cp:lastPrinted>2021-01-04T11:22:00Z</cp:lastPrinted>
  <dcterms:modified xsi:type="dcterms:W3CDTF">2024-03-07T08:28:28Z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