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pacing w:before="0" w:after="0" w:line="360" w:lineRule="auto"/>
        <w:ind w:firstLine="118" w:firstLineChars="49"/>
        <w:jc w:val="left"/>
        <w:rPr>
          <w:rFonts w:ascii="宋体" w:hAnsi="宋体" w:eastAsia="宋体" w:cs="仿宋"/>
          <w:bCs w:val="0"/>
          <w:sz w:val="24"/>
          <w:szCs w:val="24"/>
        </w:rPr>
      </w:pPr>
      <w:bookmarkStart w:id="0" w:name="_Toc217446094"/>
    </w:p>
    <w:p>
      <w:pPr>
        <w:pStyle w:val="3"/>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一、采购项目编号：SCFY-YXZB202401-005（询）</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二、年度采购预算：</w:t>
      </w:r>
      <w:r>
        <w:rPr>
          <w:rFonts w:hint="eastAsia" w:ascii="宋体" w:hAnsi="宋体" w:eastAsia="宋体" w:cs="仿宋"/>
          <w:sz w:val="24"/>
          <w:szCs w:val="24"/>
          <w:lang w:val="en-US" w:eastAsia="zh-CN"/>
        </w:rPr>
        <w:t>0.32</w:t>
      </w:r>
      <w:r>
        <w:rPr>
          <w:rFonts w:hint="eastAsia" w:ascii="宋体" w:hAnsi="宋体" w:eastAsia="宋体" w:cs="仿宋"/>
          <w:sz w:val="24"/>
          <w:szCs w:val="24"/>
        </w:rPr>
        <w:t>万元/年</w:t>
      </w:r>
    </w:p>
    <w:p>
      <w:pPr>
        <w:pStyle w:val="3"/>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rPr>
        <w:t xml:space="preserve">三、 </w:t>
      </w:r>
      <w:bookmarkEnd w:id="0"/>
      <w:bookmarkStart w:id="1" w:name="_Toc217446095"/>
      <w:r>
        <w:rPr>
          <w:rFonts w:hint="eastAsia" w:ascii="宋体" w:hAnsi="宋体" w:eastAsia="宋体" w:cs="仿宋"/>
          <w:sz w:val="24"/>
          <w:szCs w:val="24"/>
        </w:rPr>
        <w:t>项目清单及技术</w:t>
      </w:r>
      <w:r>
        <w:rPr>
          <w:rFonts w:hint="eastAsia" w:ascii="宋体" w:hAnsi="宋体" w:eastAsia="宋体" w:cs="仿宋"/>
          <w:sz w:val="24"/>
          <w:szCs w:val="24"/>
          <w:lang w:eastAsia="zh-CN"/>
        </w:rPr>
        <w:t>、</w:t>
      </w:r>
      <w:r>
        <w:rPr>
          <w:rFonts w:hint="eastAsia" w:ascii="宋体" w:hAnsi="宋体" w:eastAsia="宋体" w:cs="仿宋"/>
          <w:sz w:val="24"/>
          <w:szCs w:val="24"/>
          <w:lang w:val="en-US" w:eastAsia="zh-CN"/>
        </w:rPr>
        <w:t>商务</w:t>
      </w:r>
      <w:r>
        <w:rPr>
          <w:rFonts w:hint="eastAsia" w:ascii="宋体" w:hAnsi="宋体" w:eastAsia="宋体" w:cs="仿宋"/>
          <w:sz w:val="24"/>
          <w:szCs w:val="24"/>
        </w:rPr>
        <w:t>要求：</w:t>
      </w:r>
    </w:p>
    <w:tbl>
      <w:tblPr>
        <w:tblStyle w:val="12"/>
        <w:tblW w:w="496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91"/>
        <w:gridCol w:w="1248"/>
        <w:gridCol w:w="1248"/>
        <w:gridCol w:w="1401"/>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right"/>
        </w:trPr>
        <w:tc>
          <w:tcPr>
            <w:tcW w:w="362"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98"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630"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630"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707"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2369" w:type="pct"/>
            <w:noWrap w:val="0"/>
            <w:vAlign w:val="center"/>
          </w:tcPr>
          <w:p>
            <w:pPr>
              <w:autoSpaceDE w:val="0"/>
              <w:autoSpaceDN w:val="0"/>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362" w:type="pct"/>
            <w:vMerge w:val="continue"/>
            <w:noWrap w:val="0"/>
            <w:vAlign w:val="center"/>
          </w:tcPr>
          <w:p>
            <w:pPr>
              <w:spacing w:line="420" w:lineRule="exact"/>
              <w:jc w:val="center"/>
              <w:rPr>
                <w:rFonts w:hint="eastAsia" w:cs="宋体"/>
                <w:color w:val="000000"/>
                <w:kern w:val="0"/>
              </w:rPr>
            </w:pPr>
          </w:p>
        </w:tc>
        <w:tc>
          <w:tcPr>
            <w:tcW w:w="298"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630"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lang w:val="en-US" w:eastAsia="zh-CN"/>
              </w:rPr>
              <w:t>一次性体外循环灌注针</w:t>
            </w:r>
          </w:p>
        </w:tc>
        <w:tc>
          <w:tcPr>
            <w:tcW w:w="630"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160元</w:t>
            </w:r>
          </w:p>
        </w:tc>
        <w:tc>
          <w:tcPr>
            <w:tcW w:w="707"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20个</w:t>
            </w:r>
          </w:p>
        </w:tc>
        <w:tc>
          <w:tcPr>
            <w:tcW w:w="2369" w:type="pct"/>
            <w:noWrap w:val="0"/>
            <w:vAlign w:val="top"/>
          </w:tcPr>
          <w:p>
            <w:pPr>
              <w:pStyle w:val="2"/>
              <w:numPr>
                <w:ilvl w:val="0"/>
                <w:numId w:val="0"/>
              </w:numPr>
              <w:rPr>
                <w:rFonts w:hint="eastAsia"/>
                <w:lang w:val="en-US" w:eastAsia="zh-CN"/>
              </w:rPr>
            </w:pPr>
            <w:r>
              <w:rPr>
                <w:rFonts w:hint="eastAsia"/>
              </w:rPr>
              <w:t>▲</w:t>
            </w:r>
            <w:r>
              <w:rPr>
                <w:rFonts w:hint="eastAsia"/>
                <w:lang w:val="en-US" w:eastAsia="zh-CN"/>
              </w:rPr>
              <w:t>用于新生儿及低体重婴幼儿在心脏直视手术中体外循环时心脏停跳及心肌保护时使用。</w:t>
            </w:r>
          </w:p>
          <w:p>
            <w:pPr>
              <w:numPr>
                <w:ilvl w:val="0"/>
                <w:numId w:val="0"/>
              </w:numPr>
              <w:rPr>
                <w:rFonts w:hint="eastAsia"/>
                <w:lang w:val="en-US" w:eastAsia="zh-CN"/>
              </w:rPr>
            </w:pPr>
            <w:r>
              <w:rPr>
                <w:rFonts w:hint="eastAsia"/>
              </w:rPr>
              <w:t>▲</w:t>
            </w:r>
            <w:r>
              <w:rPr>
                <w:rFonts w:hint="eastAsia"/>
                <w:lang w:val="en-US" w:eastAsia="zh-CN"/>
              </w:rPr>
              <w:t>经环氧乙烷灭菌，一次性使用。</w:t>
            </w:r>
          </w:p>
          <w:p>
            <w:pPr>
              <w:pStyle w:val="2"/>
              <w:rPr>
                <w:rFonts w:hint="eastAsia" w:ascii="Times New Roman" w:hAnsi="Times New Roman" w:eastAsia="宋体" w:cs="Times New Roman"/>
              </w:rPr>
            </w:pPr>
          </w:p>
          <w:p>
            <w:pPr>
              <w:pStyle w:val="2"/>
              <w:rPr>
                <w:rFonts w:hint="default"/>
                <w:lang w:val="en-US" w:eastAsia="zh-CN"/>
              </w:rPr>
            </w:pPr>
            <w:r>
              <w:rPr>
                <w:rFonts w:hint="eastAsia" w:ascii="Times New Roman" w:hAnsi="Times New Roman" w:eastAsia="宋体" w:cs="Times New Roman"/>
              </w:rPr>
              <w:t>备注: 以上打▲号的条款为本次招标项目的实质性要求，不允许有负偏离。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right"/>
        </w:trPr>
        <w:tc>
          <w:tcPr>
            <w:tcW w:w="362" w:type="pct"/>
            <w:noWrap w:val="0"/>
            <w:vAlign w:val="center"/>
          </w:tcPr>
          <w:p>
            <w:pPr>
              <w:spacing w:line="420" w:lineRule="exact"/>
              <w:jc w:val="center"/>
              <w:rPr>
                <w:rFonts w:hint="eastAsia" w:cs="宋体"/>
                <w:color w:val="000000"/>
                <w:kern w:val="0"/>
              </w:rPr>
            </w:pPr>
            <w:r>
              <w:rPr>
                <w:rFonts w:hint="eastAsia" w:cs="宋体"/>
                <w:color w:val="000000"/>
                <w:kern w:val="0"/>
              </w:rPr>
              <w:t>商务</w:t>
            </w:r>
          </w:p>
          <w:p>
            <w:pPr>
              <w:spacing w:line="420" w:lineRule="exact"/>
              <w:jc w:val="center"/>
              <w:rPr>
                <w:rFonts w:hint="eastAsia" w:cs="宋体"/>
                <w:color w:val="000000"/>
                <w:kern w:val="0"/>
              </w:rPr>
            </w:pPr>
            <w:r>
              <w:rPr>
                <w:rFonts w:hint="eastAsia" w:cs="宋体"/>
                <w:color w:val="000000"/>
                <w:kern w:val="0"/>
              </w:rPr>
              <w:t>要求</w:t>
            </w:r>
          </w:p>
        </w:tc>
        <w:tc>
          <w:tcPr>
            <w:tcW w:w="4637" w:type="pct"/>
            <w:gridSpan w:val="5"/>
            <w:shd w:val="clear" w:color="auto" w:fill="auto"/>
            <w:noWrap w:val="0"/>
            <w:vAlign w:val="center"/>
          </w:tcPr>
          <w:p>
            <w:pPr>
              <w:pStyle w:val="2"/>
              <w:rPr>
                <w:rFonts w:hint="eastAsia" w:ascii="Times New Roman" w:hAnsi="Times New Roman" w:eastAsia="宋体" w:cs="Times New Roman"/>
              </w:rPr>
            </w:pPr>
            <w:r>
              <w:rPr>
                <w:rFonts w:hint="eastAsia" w:ascii="Times New Roman" w:hAnsi="Times New Roman" w:eastAsia="宋体" w:cs="Times New Roman"/>
              </w:rPr>
              <w:t>▲1.供货期限：3年，采购数量以实际使用量为准。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cs="Times New Roman"/>
                <w:lang w:val="en-US" w:eastAsia="zh-CN"/>
              </w:rPr>
              <w:t>2</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供应商的“投标总价”仅做为报价评审依据，最终根据实际需求进行相应调整，结算以实际发生量乘以供应商投标单价结算。</w:t>
            </w:r>
          </w:p>
          <w:p>
            <w:pPr>
              <w:pStyle w:val="2"/>
              <w:rPr>
                <w:rFonts w:hint="eastAsia" w:ascii="宋体" w:hAnsi="宋体" w:cs="Segoe UI"/>
                <w:color w:val="333333"/>
                <w:spacing w:val="8"/>
                <w:kern w:val="0"/>
                <w:sz w:val="18"/>
                <w:szCs w:val="18"/>
              </w:rPr>
            </w:pPr>
            <w:r>
              <w:rPr>
                <w:rFonts w:hint="eastAsia" w:ascii="Times New Roman" w:hAnsi="Times New Roman" w:eastAsia="宋体" w:cs="Times New Roman"/>
              </w:rPr>
              <w:t>备注: 以上打▲号的条款为本次招标项目的实质性要求，不允许有负偏离。</w:t>
            </w:r>
          </w:p>
        </w:tc>
      </w:tr>
    </w:tbl>
    <w:p>
      <w:pPr>
        <w:pStyle w:val="4"/>
        <w:rPr>
          <w:rFonts w:hint="eastAsia" w:ascii="宋体" w:hAnsi="宋体" w:eastAsia="宋体" w:cs="仿宋"/>
          <w:sz w:val="24"/>
          <w:szCs w:val="24"/>
        </w:rPr>
      </w:pPr>
    </w:p>
    <w:p>
      <w:pPr>
        <w:pStyle w:val="4"/>
        <w:rPr>
          <w:rFonts w:hint="eastAsia" w:ascii="宋体" w:hAnsi="宋体" w:eastAsia="宋体" w:cs="仿宋"/>
          <w:sz w:val="24"/>
          <w:szCs w:val="24"/>
        </w:rPr>
      </w:pPr>
      <w:bookmarkStart w:id="2" w:name="_GoBack"/>
      <w:bookmarkEnd w:id="2"/>
    </w:p>
    <w:bookmarkEnd w:id="1"/>
    <w:p>
      <w:pPr>
        <w:widowControl/>
        <w:spacing w:line="360" w:lineRule="auto"/>
        <w:jc w:val="left"/>
        <w:rPr>
          <w:rFonts w:ascii="宋体" w:hAnsi="宋体" w:eastAsia="宋体" w:cs="Segoe UI"/>
          <w:b/>
          <w:bCs/>
          <w:kern w:val="0"/>
          <w:sz w:val="28"/>
          <w:szCs w:val="28"/>
        </w:rPr>
      </w:pPr>
    </w:p>
    <w:p>
      <w:pPr>
        <w:rPr>
          <w:rFonts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r>
        <w:rPr>
          <w:rFonts w:hint="eastAsia" w:ascii="仿宋" w:hAnsi="仿宋" w:eastAsia="仿宋" w:cs="仿宋"/>
          <w:w w:val="95"/>
        </w:rPr>
        <w:t>承诺函</w:t>
      </w:r>
    </w:p>
    <w:p>
      <w:pPr>
        <w:spacing w:line="360" w:lineRule="auto"/>
        <w:outlineLvl w:val="1"/>
        <w:rPr>
          <w:rFonts w:hint="eastAsia" w:ascii="仿宋" w:hAnsi="仿宋" w:eastAsia="仿宋" w:cs="仿宋"/>
          <w:sz w:val="22"/>
        </w:rPr>
      </w:pPr>
      <w:r>
        <w:rPr>
          <w:rFonts w:hint="eastAsia" w:ascii="仿宋" w:hAnsi="仿宋" w:eastAsia="仿宋" w:cs="仿宋"/>
          <w:sz w:val="22"/>
        </w:rPr>
        <w:t>致：</w:t>
      </w:r>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p>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日    期：</w:t>
      </w: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六、采购物资名称：</w:t>
      </w:r>
      <w:r>
        <w:rPr>
          <w:rFonts w:hint="eastAsia" w:ascii="仿宋_GB2312" w:hAnsi="Segoe UI" w:eastAsia="仿宋_GB2312" w:cs="Segoe UI"/>
          <w:color w:val="000000" w:themeColor="text1"/>
          <w:kern w:val="0"/>
          <w:sz w:val="24"/>
          <w:szCs w:val="24"/>
          <w:u w:val="single"/>
          <w:lang w:val="en-US" w:eastAsia="zh-CN"/>
        </w:rPr>
        <w:t xml:space="preserve">                      </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46E5"/>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D7F0F"/>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0E95"/>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2921"/>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32915"/>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E30BD"/>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0E1F"/>
    <w:rsid w:val="00DB3F6C"/>
    <w:rsid w:val="00DC3AB1"/>
    <w:rsid w:val="00DC4C36"/>
    <w:rsid w:val="00DE14EC"/>
    <w:rsid w:val="00DE31ED"/>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7FA54F3"/>
    <w:rsid w:val="195D2073"/>
    <w:rsid w:val="2DB74145"/>
    <w:rsid w:val="34C1527C"/>
    <w:rsid w:val="34E74E35"/>
    <w:rsid w:val="364F4E7F"/>
    <w:rsid w:val="365344A5"/>
    <w:rsid w:val="411D3A60"/>
    <w:rsid w:val="42D37628"/>
    <w:rsid w:val="439F78E1"/>
    <w:rsid w:val="4E962B3B"/>
    <w:rsid w:val="51CB3FD0"/>
    <w:rsid w:val="5536063D"/>
    <w:rsid w:val="62FA0171"/>
    <w:rsid w:val="65C660EF"/>
    <w:rsid w:val="6C3D2985"/>
    <w:rsid w:val="701306BF"/>
    <w:rsid w:val="75233D75"/>
    <w:rsid w:val="78BA1DAC"/>
    <w:rsid w:val="7BAB50CE"/>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6"/>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link w:val="25"/>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NormalCharacter"/>
    <w:qFormat/>
    <w:uiPriority w:val="0"/>
  </w:style>
  <w:style w:type="character" w:customStyle="1" w:styleId="25">
    <w:name w:val="正文文本缩进 2 Char"/>
    <w:basedOn w:val="14"/>
    <w:link w:val="6"/>
    <w:semiHidden/>
    <w:qFormat/>
    <w:uiPriority w:val="99"/>
    <w:rPr>
      <w:rFonts w:asciiTheme="minorHAnsi" w:hAnsiTheme="minorHAnsi" w:eastAsiaTheme="minorEastAsia" w:cstheme="minorBidi"/>
      <w:kern w:val="2"/>
      <w:sz w:val="21"/>
      <w:szCs w:val="22"/>
    </w:rPr>
  </w:style>
  <w:style w:type="character" w:customStyle="1" w:styleId="26">
    <w:name w:val="正文文本 Char"/>
    <w:basedOn w:val="14"/>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A8A53-B26B-4B29-A513-F392F504E0E9}">
  <ds:schemaRefs/>
</ds:datastoreItem>
</file>

<file path=docProps/app.xml><?xml version="1.0" encoding="utf-8"?>
<Properties xmlns="http://schemas.openxmlformats.org/officeDocument/2006/extended-properties" xmlns:vt="http://schemas.openxmlformats.org/officeDocument/2006/docPropsVTypes">
  <Template>Normal</Template>
  <Pages>11</Pages>
  <Words>908</Words>
  <Characters>5182</Characters>
  <Lines>43</Lines>
  <Paragraphs>12</Paragraphs>
  <TotalTime>1</TotalTime>
  <ScaleCrop>false</ScaleCrop>
  <LinksUpToDate>false</LinksUpToDate>
  <CharactersWithSpaces>6078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2024-03-07T08:44:16Z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