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四川省妇幼保健院 四川省妇女儿童医院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highlight w:val="none"/>
          <w:lang w:val="en-US" w:eastAsia="zh-CN"/>
        </w:rPr>
        <w:t>四川省生殖健康促进行动宣传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highlight w:val="none"/>
        </w:rPr>
        <w:t>项目市场调研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highlight w:val="none"/>
          <w:lang w:val="en-US" w:eastAsia="zh-CN"/>
        </w:rPr>
        <w:t>需求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一、项目内容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四川省妇幼保健院 四川省生殖健康促进行动活动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根据《四川省生殖健康促进行动实施方案（2023-2025年）》，结合工作开展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实际，创新传播方式和手段，在省级及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地方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主流媒体大力宣传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四川生殖健康促进行动相关政策及开展生殖健康宣传倡导相关活动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要求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我省生殖健康促进行动开展省级宣传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，紧扣重要节点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生殖健康进校园（或进社区、进企（事）业单位）宣传活动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重点内容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在公众平台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完成不少于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次多元化呈现，主题鲜明、重点突出、形式新颖。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三、策划方案要求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highlight w:val="none"/>
          <w:shd w:val="clear" w:fill="FFFFFF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shd w:val="clear" w:fill="auto"/>
          <w:lang w:val="en-US" w:eastAsia="zh-CN"/>
        </w:rPr>
        <w:t>供应商需结合以下4点要求，提供符合本项目服务需求的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生殖健康省级宣传倡导活动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策划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方案，方案应展示策划的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shd w:val="clear" w:fill="auto"/>
          <w:lang w:val="en-US" w:eastAsia="zh-CN"/>
        </w:rPr>
        <w:t>具体做法，同时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彰显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妇幼保健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医院特色，形成较强互动参与度，获得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广泛影响力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具体内容应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shd w:val="clear" w:fill="auto"/>
          <w:lang w:val="en-US" w:eastAsia="zh-CN"/>
        </w:rPr>
        <w:t>包含但不限于以下内容：</w:t>
      </w:r>
    </w:p>
    <w:p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紧扣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从进校园、进社区、进企（事）业单位，选取一个点位进行活动方案的设计与策划；</w:t>
      </w:r>
    </w:p>
    <w:p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2.配合制作相关核心知识图文及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highlight w:val="none"/>
          <w:lang w:val="en-US" w:eastAsia="zh-CN"/>
        </w:rPr>
        <w:t>妇女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highlight w:val="none"/>
          <w:lang w:val="en-US" w:eastAsia="zh-CN"/>
        </w:rPr>
        <w:t>全生命周期生殖健康指南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highlight w:val="none"/>
          <w:lang w:val="en-US" w:eastAsia="zh-CN"/>
        </w:rPr>
        <w:t>等图文资料；</w:t>
      </w:r>
    </w:p>
    <w:p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3.宣传省级生殖健康专家；</w:t>
      </w:r>
    </w:p>
    <w:p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4.以新媒体短视频、网络直播栏目等形式开展生殖健康相关科普。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四、团队能力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从硬件设备和软实力两个方面展示团队实力。硬件方面，列举实现策划方案所需的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器材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提供所有宣传产品制作所需摄影、剪辑、制作、录音等设备器材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请根据实际情况分别完善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附表1。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专业项目团队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软实力方面，请根据实际情况分别完善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附表2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。相似的业绩项目请根据实际情况分别完善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附表3。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五、项目报价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四川省生殖健康促进行动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项目采购报价一览表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见附表4。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附表1  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项目服务团队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硬件设备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一览表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项目名称：四川省生殖健康促进行动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项目 </w:t>
      </w:r>
    </w:p>
    <w:tbl>
      <w:tblPr>
        <w:tblStyle w:val="5"/>
        <w:tblpPr w:leftFromText="180" w:rightFromText="180" w:vertAnchor="text" w:horzAnchor="page" w:tblpX="1770" w:tblpY="6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"/>
              </w:rPr>
              <w:t>设备类型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"/>
              </w:rPr>
              <w:t>品牌/型号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"/>
              </w:rPr>
              <w:t>使用状态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示例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笔记本电脑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联想ThinkPad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10台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在用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配备最新操作系统，用于编程和数据处理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jc w:val="left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请主要罗列本项目涉及的硬件设备。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供应商名称：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法定代表人或授权代表：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签字或盖章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填写日期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附表2  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项目服务团队情况一览表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项目名称：四川省生殖健康促进行动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项目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35"/>
        <w:gridCol w:w="735"/>
        <w:gridCol w:w="2884"/>
        <w:gridCol w:w="2534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职务/职称/角色</w:t>
            </w:r>
          </w:p>
        </w:tc>
        <w:tc>
          <w:tcPr>
            <w:tcW w:w="169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从业时长及经验说明（年）</w:t>
            </w:r>
          </w:p>
        </w:tc>
        <w:tc>
          <w:tcPr>
            <w:tcW w:w="148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本项目职责分工及参与程度</w:t>
            </w: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1示例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张三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设计师</w:t>
            </w:r>
          </w:p>
        </w:tc>
        <w:tc>
          <w:tcPr>
            <w:tcW w:w="169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5年 在XXX公司设计师 完成设计作品XXX个，XXX作用入选XXX。</w:t>
            </w:r>
          </w:p>
        </w:tc>
        <w:tc>
          <w:tcPr>
            <w:tcW w:w="148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负责宣传海报的设计等、全程参与</w:t>
            </w: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参与进校园系列设计XXX次等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请主要罗列参与本项目的团队成员及参与程度。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供应商名称：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法定代表人或授权代表：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签字或盖章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填写日期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附表3  近3年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供应商类似项目业绩一览表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项目名称： 四川省生殖健康促进行动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809"/>
        <w:gridCol w:w="2177"/>
        <w:gridCol w:w="2617"/>
        <w:gridCol w:w="2220"/>
        <w:gridCol w:w="1905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用户名称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923" w:type="pc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项目起止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合同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金额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是否通过验收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示例1</w:t>
            </w: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XXX医院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XXXXX活动</w:t>
            </w:r>
          </w:p>
        </w:tc>
        <w:tc>
          <w:tcPr>
            <w:tcW w:w="92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2023.06-2023.12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XXXX.XX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638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23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8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6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14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638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768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92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78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6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714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638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768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92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78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6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714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</w:p>
    <w:p>
      <w:pPr>
        <w:jc w:val="left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1.请主要罗列此次活动相似的业绩项目（“类似”是指卫生健康领域的业绩项目；三级公立医院业绩优先罗列）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本表后应附合同协议书或者用户证明文件的复印件，我方保证上述信息的真实和准确，并愿意承担因我方就此弄虚作假所引起的一切法律后果。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供应商名称：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法定代表人或授权代表：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签字或盖章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填写日期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</w:t>
      </w:r>
    </w:p>
    <w:p>
      <w:pPr>
        <w:rPr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附表4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四川省生殖健康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/>
        </w:rPr>
        <w:t>促进行动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项目采购报价一览表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项目名称：四川省生殖健康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  <w:t>促进行动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</w:t>
      </w:r>
    </w:p>
    <w:tbl>
      <w:tblPr>
        <w:tblStyle w:val="4"/>
        <w:tblW w:w="49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3651"/>
        <w:gridCol w:w="2249"/>
        <w:gridCol w:w="12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143" w:type="pct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服务内容</w:t>
            </w:r>
          </w:p>
        </w:tc>
        <w:tc>
          <w:tcPr>
            <w:tcW w:w="1320" w:type="pct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单价（元）</w:t>
            </w:r>
          </w:p>
        </w:tc>
        <w:tc>
          <w:tcPr>
            <w:tcW w:w="735" w:type="pct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801" w:type="pct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143" w:type="pct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</w:tc>
        <w:tc>
          <w:tcPr>
            <w:tcW w:w="1320" w:type="pct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735" w:type="pct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01" w:type="pct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报价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合计</w:t>
            </w:r>
          </w:p>
        </w:tc>
        <w:tc>
          <w:tcPr>
            <w:tcW w:w="4198" w:type="pct"/>
            <w:gridSpan w:val="3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人民币大写：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  元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（人民币小写：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   元）</w:t>
            </w:r>
          </w:p>
        </w:tc>
      </w:tr>
    </w:tbl>
    <w:p>
      <w:pPr>
        <w:spacing w:line="12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注：1.报价表中的价格应是最终用户验收合格后的总价，包括人工费、税费等费用以及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一切其他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相关费用。</w:t>
      </w:r>
    </w:p>
    <w:p>
      <w:pPr>
        <w:spacing w:line="120" w:lineRule="auto"/>
        <w:ind w:firstLine="0" w:firstLineChars="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2.“报价一览表”为多页的，每页均需由法定代表人或授权代表签字并盖投标人印章。</w:t>
      </w:r>
    </w:p>
    <w:p>
      <w:pPr>
        <w:spacing w:line="120" w:lineRule="auto"/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3.报价方式：以人民币报价。</w:t>
      </w:r>
    </w:p>
    <w:p>
      <w:pPr>
        <w:spacing w:line="120" w:lineRule="auto"/>
        <w:ind w:firstLine="0" w:firstLineChars="0"/>
        <w:rPr>
          <w:rFonts w:hint="default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4选取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进校园、进社区、进企（事）业单位其中一个点位报价。</w:t>
      </w:r>
    </w:p>
    <w:p>
      <w:pPr>
        <w:spacing w:line="12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供应商名称：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法定代表人或授权代表：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签字或盖章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填写日期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</w:t>
      </w:r>
    </w:p>
    <w:p>
      <w:pPr>
        <w:jc w:val="left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ZDBkMDdhMDU5YTQ4MjA4NDZkYjEyZWE0N2NhMDMifQ=="/>
  </w:docVars>
  <w:rsids>
    <w:rsidRoot w:val="00000000"/>
    <w:rsid w:val="0CC86502"/>
    <w:rsid w:val="0E693476"/>
    <w:rsid w:val="0F2745D8"/>
    <w:rsid w:val="10A35E8F"/>
    <w:rsid w:val="17C54127"/>
    <w:rsid w:val="18E80170"/>
    <w:rsid w:val="1EC80F80"/>
    <w:rsid w:val="23D05E8D"/>
    <w:rsid w:val="273C0CC9"/>
    <w:rsid w:val="28882A4B"/>
    <w:rsid w:val="29833209"/>
    <w:rsid w:val="2D3A1340"/>
    <w:rsid w:val="2F933A9E"/>
    <w:rsid w:val="304055CA"/>
    <w:rsid w:val="3A7E7463"/>
    <w:rsid w:val="3CB8203F"/>
    <w:rsid w:val="42294B17"/>
    <w:rsid w:val="432A08FD"/>
    <w:rsid w:val="44F2239F"/>
    <w:rsid w:val="471517AC"/>
    <w:rsid w:val="475F3BAD"/>
    <w:rsid w:val="475F7529"/>
    <w:rsid w:val="478C3654"/>
    <w:rsid w:val="483D72AD"/>
    <w:rsid w:val="488F0764"/>
    <w:rsid w:val="4E604F1D"/>
    <w:rsid w:val="50A56371"/>
    <w:rsid w:val="55C146F2"/>
    <w:rsid w:val="5F6B4DF8"/>
    <w:rsid w:val="61B0423D"/>
    <w:rsid w:val="657B1D16"/>
    <w:rsid w:val="659F31C5"/>
    <w:rsid w:val="692929D8"/>
    <w:rsid w:val="6A9C3299"/>
    <w:rsid w:val="6DA56F2E"/>
    <w:rsid w:val="6FF31CCD"/>
    <w:rsid w:val="71AB378B"/>
    <w:rsid w:val="7EE0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eastAsia="黑体"/>
      <w:sz w:val="44"/>
      <w:szCs w:val="21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2024-03-29T08:30:00Z</dcterms:created>
  <dc:creator>Administrator</dc:creator>
  <cp:lastModifiedBy>娟 明</cp:lastModifiedBy>
  <dcterms:modified xsi:type="dcterms:W3CDTF">2024-04-03T03:20:41Z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0CB66A035DBB437CB6D9F56145776278_13</vt:lpwstr>
  </property>
</Properties>
</file>