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仿宋_GB2312" w:hAnsi="仿宋_GB2312" w:eastAsia="仿宋_GB2312" w:cs="仿宋_GB2312"/>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eastAsia" w:ascii="宋体" w:hAnsi="宋体" w:eastAsia="宋体" w:cs="宋体"/>
          <w:b w:val="0"/>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b w:val="0"/>
          <w:color w:val="000000"/>
          <w:kern w:val="0"/>
          <w:sz w:val="28"/>
          <w:szCs w:val="28"/>
        </w:rPr>
        <w:t>技术</w:t>
      </w:r>
      <w:r>
        <w:rPr>
          <w:rFonts w:hint="eastAsia" w:ascii="宋体" w:hAnsi="宋体" w:eastAsia="宋体" w:cs="宋体"/>
          <w:b w:val="0"/>
          <w:color w:val="000000"/>
          <w:kern w:val="0"/>
          <w:sz w:val="28"/>
          <w:szCs w:val="28"/>
          <w:lang w:eastAsia="zh-CN"/>
        </w:rPr>
        <w:t>、</w:t>
      </w:r>
      <w:r>
        <w:rPr>
          <w:rFonts w:hint="eastAsia" w:ascii="宋体" w:hAnsi="宋体" w:eastAsia="宋体" w:cs="宋体"/>
          <w:b w:val="0"/>
          <w:color w:val="000000"/>
          <w:kern w:val="0"/>
          <w:sz w:val="28"/>
          <w:szCs w:val="28"/>
        </w:rPr>
        <w:t>商务响应/偏离表</w:t>
      </w:r>
    </w:p>
    <w:p>
      <w:pPr>
        <w:widowControl/>
        <w:snapToGrid w:val="0"/>
        <w:spacing w:line="560" w:lineRule="exact"/>
        <w:ind w:firstLine="632"/>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.项目服务团队情况一览表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10</w:t>
      </w:r>
      <w:r>
        <w:rPr>
          <w:rFonts w:hint="eastAsia" w:ascii="宋体" w:hAnsi="宋体" w:eastAsia="宋体" w:cs="宋体"/>
          <w:color w:val="000000"/>
          <w:kern w:val="0"/>
          <w:sz w:val="28"/>
          <w:szCs w:val="28"/>
        </w:rPr>
        <w:t>.供应商认为需要提供的其他材料。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11.</w:t>
      </w:r>
      <w:r>
        <w:rPr>
          <w:rFonts w:hint="eastAsia" w:ascii="宋体" w:hAnsi="宋体" w:eastAsia="宋体" w:cs="宋体"/>
          <w:color w:val="000000"/>
          <w:kern w:val="0"/>
          <w:sz w:val="28"/>
          <w:szCs w:val="28"/>
        </w:rPr>
        <w:t>封底</w:t>
      </w:r>
    </w:p>
    <w:p>
      <w:pPr>
        <w:widowControl/>
        <w:snapToGrid w:val="0"/>
        <w:spacing w:line="560" w:lineRule="exact"/>
        <w:ind w:firstLine="562" w:firstLineChars="20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10"/>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cs="仿宋_GB2312" w:asciiTheme="minorEastAsia" w:hAnsiTheme="minorEastAsia"/>
          <w:sz w:val="28"/>
          <w:szCs w:val="28"/>
          <w:lang w:val="en-US" w:eastAsia="zh-CN"/>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四川省妇幼保健院工会活动策划及拓展服务（第二次）</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highlight w:val="yellow"/>
          <w:lang w:val="en-US" w:eastAsia="zh-CN"/>
        </w:rPr>
      </w:pPr>
      <w:r>
        <w:rPr>
          <w:rFonts w:hint="eastAsia" w:cs="仿宋_GB2312" w:asciiTheme="majorEastAsia" w:hAnsiTheme="majorEastAsia" w:eastAsiaTheme="majorEastAsia"/>
          <w:sz w:val="28"/>
          <w:szCs w:val="28"/>
        </w:rPr>
        <w:t>附件4-</w:t>
      </w:r>
      <w:r>
        <w:rPr>
          <w:rFonts w:hint="eastAsia" w:cs="仿宋_GB2312" w:asciiTheme="majorEastAsia" w:hAnsiTheme="majorEastAsia" w:eastAsiaTheme="majorEastAsia"/>
          <w:sz w:val="28"/>
          <w:szCs w:val="28"/>
          <w:lang w:val="en-US" w:eastAsia="zh-CN"/>
        </w:rPr>
        <w:t>4</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四川省妇幼保健院工会活动策划及拓展服务项目（第二次</w:t>
      </w:r>
      <w:bookmarkStart w:id="0" w:name="_GoBack"/>
      <w:bookmarkEnd w:id="0"/>
      <w:r>
        <w:rPr>
          <w:rFonts w:hint="eastAsia" w:ascii="仿宋_GB2312" w:hAnsi="仿宋_GB2312" w:eastAsia="仿宋_GB2312" w:cs="仿宋_GB2312"/>
          <w:sz w:val="28"/>
          <w:szCs w:val="28"/>
          <w:lang w:val="en-US" w:eastAsia="zh-CN"/>
        </w:rPr>
        <w:t>）</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4-5</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注：</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8E724F"/>
    <w:rsid w:val="1B106CFD"/>
    <w:rsid w:val="1B1D35DF"/>
    <w:rsid w:val="1B813443"/>
    <w:rsid w:val="1BE555D4"/>
    <w:rsid w:val="1F4D3E75"/>
    <w:rsid w:val="2E626D96"/>
    <w:rsid w:val="31F2079F"/>
    <w:rsid w:val="34A14974"/>
    <w:rsid w:val="3632560E"/>
    <w:rsid w:val="38B90269"/>
    <w:rsid w:val="3E636CAD"/>
    <w:rsid w:val="427F3BBD"/>
    <w:rsid w:val="46421C54"/>
    <w:rsid w:val="4C202BC8"/>
    <w:rsid w:val="543A0851"/>
    <w:rsid w:val="554478DE"/>
    <w:rsid w:val="59DA617F"/>
    <w:rsid w:val="6098413C"/>
    <w:rsid w:val="60BD68DC"/>
    <w:rsid w:val="6BF32B6E"/>
    <w:rsid w:val="6DE95CFE"/>
    <w:rsid w:val="78060618"/>
    <w:rsid w:val="79176C60"/>
    <w:rsid w:val="7B3425AC"/>
    <w:rsid w:val="7CB2441E"/>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6">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5"/>
    <w:autoRedefine/>
    <w:qFormat/>
    <w:uiPriority w:val="0"/>
    <w:pPr>
      <w:jc w:val="center"/>
    </w:pPr>
    <w:rPr>
      <w:rFonts w:eastAsia="黑体"/>
      <w:sz w:val="44"/>
      <w:szCs w:val="21"/>
    </w:rPr>
  </w:style>
  <w:style w:type="paragraph" w:styleId="3">
    <w:name w:val="Body Text First Indent 2"/>
    <w:basedOn w:val="4"/>
    <w:autoRedefine/>
    <w:qFormat/>
    <w:uiPriority w:val="0"/>
    <w:pPr>
      <w:ind w:firstLine="420"/>
    </w:pPr>
  </w:style>
  <w:style w:type="paragraph" w:styleId="4">
    <w:name w:val="Body Text Indent"/>
    <w:basedOn w:val="1"/>
    <w:autoRedefine/>
    <w:qFormat/>
    <w:uiPriority w:val="0"/>
    <w:pPr>
      <w:ind w:firstLine="630"/>
    </w:pPr>
    <w:rPr>
      <w:sz w:val="32"/>
      <w:szCs w:val="20"/>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7"/>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2"/>
    <w:autoRedefine/>
    <w:qFormat/>
    <w:uiPriority w:val="0"/>
    <w:rPr>
      <w:rFonts w:eastAsia="黑体" w:asciiTheme="minorHAnsi" w:hAnsiTheme="minorHAnsi" w:cstheme="minorBidi"/>
      <w:kern w:val="2"/>
      <w:sz w:val="44"/>
      <w:szCs w:val="21"/>
    </w:rPr>
  </w:style>
  <w:style w:type="paragraph" w:customStyle="1" w:styleId="16">
    <w:name w:val="BodyText"/>
    <w:basedOn w:val="1"/>
    <w:autoRedefine/>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0</TotalTime>
  <ScaleCrop>false</ScaleCrop>
  <LinksUpToDate>false</LinksUpToDate>
  <CharactersWithSpaces>3269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2024-04-01T03:32:00Z</cp:lastPrinted>
  <dcterms:modified xsi:type="dcterms:W3CDTF">2024-04-01T07:56:50Z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4B6186DE95EB48CF9ED2AEA314C54E83</vt:lpwstr>
  </property>
</Properties>
</file>