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宋体" w:hAnsi="宋体" w:eastAsia="宋体" w:cs="宋体"/>
          <w:b w:val="0"/>
          <w:bCs/>
          <w:sz w:val="28"/>
          <w:szCs w:val="28"/>
          <w:lang w:val="en-US" w:eastAsia="zh-CN"/>
        </w:rPr>
      </w:pPr>
      <w:r>
        <w:rPr>
          <w:rFonts w:hint="eastAsia" w:ascii="黑体" w:hAnsi="黑体" w:eastAsia="黑体" w:cs="黑体"/>
          <w:b w:val="0"/>
          <w:bCs/>
          <w:sz w:val="28"/>
          <w:szCs w:val="28"/>
          <w:lang w:val="en-US" w:eastAsia="zh-CN"/>
        </w:rPr>
        <w:t>附件5</w:t>
      </w:r>
      <w:r>
        <w:rPr>
          <w:rFonts w:hint="eastAsia" w:ascii="宋体" w:hAnsi="宋体" w:eastAsia="宋体" w:cs="宋体"/>
          <w:b w:val="0"/>
          <w:bCs/>
          <w:sz w:val="28"/>
          <w:szCs w:val="28"/>
          <w:lang w:val="en-US" w:eastAsia="zh-CN"/>
        </w:rPr>
        <w:t xml:space="preserve">  </w:t>
      </w:r>
    </w:p>
    <w:p>
      <w:pPr>
        <w:jc w:val="center"/>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t>综合评分明细表</w:t>
      </w:r>
    </w:p>
    <w:tbl>
      <w:tblPr>
        <w:tblStyle w:val="6"/>
        <w:tblpPr w:leftFromText="180" w:rightFromText="180" w:vertAnchor="page" w:horzAnchor="page" w:tblpX="1973" w:tblpY="2938"/>
        <w:tblOverlap w:val="never"/>
        <w:tblW w:w="88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7"/>
        <w:gridCol w:w="1575"/>
        <w:gridCol w:w="4500"/>
        <w:gridCol w:w="20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7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auto"/>
              <w:rPr>
                <w:rFonts w:hint="eastAsia" w:ascii="黑体" w:hAnsi="黑体" w:eastAsia="黑体" w:cs="黑体"/>
                <w:b w:val="0"/>
                <w:bCs/>
                <w:color w:val="000000" w:themeColor="text1"/>
                <w:sz w:val="24"/>
                <w:szCs w:val="24"/>
                <w:highlight w:val="none"/>
                <w14:textFill>
                  <w14:solidFill>
                    <w14:schemeClr w14:val="tx1"/>
                  </w14:solidFill>
                </w14:textFill>
              </w:rPr>
            </w:pPr>
            <w:r>
              <w:rPr>
                <w:rFonts w:hint="eastAsia" w:ascii="黑体" w:hAnsi="黑体" w:eastAsia="黑体" w:cs="黑体"/>
                <w:b w:val="0"/>
                <w:bCs/>
                <w:color w:val="000000" w:themeColor="text1"/>
                <w:sz w:val="24"/>
                <w:szCs w:val="24"/>
                <w:highlight w:val="none"/>
                <w14:textFill>
                  <w14:solidFill>
                    <w14:schemeClr w14:val="tx1"/>
                  </w14:solidFill>
                </w14:textFill>
              </w:rPr>
              <w:t>序号</w:t>
            </w:r>
          </w:p>
        </w:tc>
        <w:tc>
          <w:tcPr>
            <w:tcW w:w="157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auto"/>
              <w:rPr>
                <w:rFonts w:hint="eastAsia" w:ascii="黑体" w:hAnsi="黑体" w:eastAsia="黑体" w:cs="黑体"/>
                <w:b w:val="0"/>
                <w:bCs/>
                <w:color w:val="000000" w:themeColor="text1"/>
                <w:sz w:val="24"/>
                <w:szCs w:val="24"/>
                <w:highlight w:val="none"/>
                <w14:textFill>
                  <w14:solidFill>
                    <w14:schemeClr w14:val="tx1"/>
                  </w14:solidFill>
                </w14:textFill>
              </w:rPr>
            </w:pPr>
            <w:r>
              <w:rPr>
                <w:rFonts w:hint="eastAsia" w:ascii="黑体" w:hAnsi="黑体" w:eastAsia="黑体" w:cs="黑体"/>
                <w:b w:val="0"/>
                <w:bCs/>
                <w:color w:val="000000" w:themeColor="text1"/>
                <w:sz w:val="24"/>
                <w:szCs w:val="24"/>
                <w:highlight w:val="none"/>
                <w14:textFill>
                  <w14:solidFill>
                    <w14:schemeClr w14:val="tx1"/>
                  </w14:solidFill>
                </w14:textFill>
              </w:rPr>
              <w:t>评分项目</w:t>
            </w:r>
          </w:p>
        </w:tc>
        <w:tc>
          <w:tcPr>
            <w:tcW w:w="450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auto"/>
              <w:rPr>
                <w:rFonts w:hint="eastAsia" w:ascii="黑体" w:hAnsi="黑体" w:eastAsia="黑体" w:cs="黑体"/>
                <w:b w:val="0"/>
                <w:bCs/>
                <w:color w:val="000000" w:themeColor="text1"/>
                <w:sz w:val="24"/>
                <w:szCs w:val="24"/>
                <w:highlight w:val="none"/>
                <w14:textFill>
                  <w14:solidFill>
                    <w14:schemeClr w14:val="tx1"/>
                  </w14:solidFill>
                </w14:textFill>
              </w:rPr>
            </w:pPr>
            <w:r>
              <w:rPr>
                <w:rFonts w:hint="eastAsia" w:ascii="黑体" w:hAnsi="黑体" w:eastAsia="黑体" w:cs="黑体"/>
                <w:b w:val="0"/>
                <w:bCs/>
                <w:color w:val="000000" w:themeColor="text1"/>
                <w:sz w:val="24"/>
                <w:szCs w:val="24"/>
                <w:highlight w:val="none"/>
                <w14:textFill>
                  <w14:solidFill>
                    <w14:schemeClr w14:val="tx1"/>
                  </w14:solidFill>
                </w14:textFill>
              </w:rPr>
              <w:t>评分标准</w:t>
            </w:r>
          </w:p>
        </w:tc>
        <w:tc>
          <w:tcPr>
            <w:tcW w:w="20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auto"/>
              <w:rPr>
                <w:rFonts w:hint="eastAsia" w:ascii="黑体" w:hAnsi="黑体" w:eastAsia="黑体" w:cs="黑体"/>
                <w:b w:val="0"/>
                <w:bCs/>
                <w:color w:val="000000" w:themeColor="text1"/>
                <w:sz w:val="24"/>
                <w:szCs w:val="24"/>
                <w:highlight w:val="none"/>
                <w14:textFill>
                  <w14:solidFill>
                    <w14:schemeClr w14:val="tx1"/>
                  </w14:solidFill>
                </w14:textFill>
              </w:rPr>
            </w:pPr>
            <w:r>
              <w:rPr>
                <w:rFonts w:hint="eastAsia" w:ascii="黑体" w:hAnsi="黑体" w:eastAsia="黑体" w:cs="黑体"/>
                <w:b w:val="0"/>
                <w:bCs/>
                <w:color w:val="000000" w:themeColor="text1"/>
                <w:sz w:val="24"/>
                <w:szCs w:val="24"/>
                <w:highlight w:val="none"/>
                <w14:textFill>
                  <w14:solidFill>
                    <w14:schemeClr w14:val="tx1"/>
                  </w14:solidFill>
                </w14:textFill>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8" w:hRule="atLeast"/>
        </w:trPr>
        <w:tc>
          <w:tcPr>
            <w:tcW w:w="7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w:t>
            </w:r>
          </w:p>
        </w:tc>
        <w:tc>
          <w:tcPr>
            <w:tcW w:w="157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报价</w:t>
            </w:r>
          </w:p>
          <w:p>
            <w:pPr>
              <w:keepNext w:val="0"/>
              <w:keepLines w:val="0"/>
              <w:pageBreakBefore w:val="0"/>
              <w:widowControl w:val="0"/>
              <w:kinsoku/>
              <w:wordWrap/>
              <w:overflowPunct/>
              <w:topLinePunct w:val="0"/>
              <w:autoSpaceDE/>
              <w:autoSpaceDN/>
              <w:bidi w:val="0"/>
              <w:adjustRightInd/>
              <w:snapToGrid w:val="0"/>
              <w:spacing w:line="36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cs="宋体"/>
                <w:color w:val="000000" w:themeColor="text1"/>
                <w:sz w:val="21"/>
                <w:szCs w:val="21"/>
                <w:highlight w:val="none"/>
                <w:lang w:val="en-US" w:eastAsia="zh-CN"/>
                <w14:textFill>
                  <w14:solidFill>
                    <w14:schemeClr w14:val="tx1"/>
                  </w14:solidFill>
                </w14:textFill>
              </w:rPr>
              <w:t>30</w:t>
            </w:r>
            <w:r>
              <w:rPr>
                <w:rFonts w:hint="eastAsia" w:ascii="宋体" w:hAnsi="宋体" w:eastAsia="宋体" w:cs="宋体"/>
                <w:color w:val="000000" w:themeColor="text1"/>
                <w:sz w:val="21"/>
                <w:szCs w:val="21"/>
                <w:highlight w:val="none"/>
                <w14:textFill>
                  <w14:solidFill>
                    <w14:schemeClr w14:val="tx1"/>
                  </w14:solidFill>
                </w14:textFill>
              </w:rPr>
              <w:t>分）</w:t>
            </w:r>
          </w:p>
        </w:tc>
        <w:tc>
          <w:tcPr>
            <w:tcW w:w="4500" w:type="dxa"/>
            <w:tcBorders>
              <w:top w:val="single" w:color="auto" w:sz="4" w:space="0"/>
              <w:left w:val="single" w:color="auto" w:sz="4" w:space="0"/>
              <w:bottom w:val="single" w:color="auto" w:sz="4" w:space="0"/>
              <w:right w:val="single" w:color="auto" w:sz="4" w:space="0"/>
            </w:tcBorders>
            <w:vAlign w:val="center"/>
          </w:tcPr>
          <w:p>
            <w:pPr>
              <w:jc w:val="left"/>
              <w:rPr>
                <w:rFonts w:hint="eastAsia" w:ascii="宋体" w:hAnsi="宋体"/>
                <w:sz w:val="21"/>
                <w:szCs w:val="21"/>
                <w:highlight w:val="none"/>
              </w:rPr>
            </w:pPr>
            <w:r>
              <w:rPr>
                <w:rFonts w:hint="eastAsia" w:ascii="宋体" w:hAnsi="宋体"/>
                <w:sz w:val="21"/>
                <w:szCs w:val="21"/>
                <w:highlight w:val="none"/>
              </w:rPr>
              <w:t>供应商对券面基准金额（劵面基准金额 ）进行</w:t>
            </w:r>
            <w:r>
              <w:rPr>
                <w:rFonts w:hint="eastAsia" w:ascii="宋体" w:hAnsi="宋体"/>
                <w:sz w:val="21"/>
                <w:szCs w:val="21"/>
                <w:highlight w:val="none"/>
                <w:lang w:eastAsia="zh-CN"/>
              </w:rPr>
              <w:t>优惠</w:t>
            </w:r>
            <w:r>
              <w:rPr>
                <w:rFonts w:hint="eastAsia" w:ascii="宋体" w:hAnsi="宋体"/>
                <w:sz w:val="21"/>
                <w:szCs w:val="21"/>
                <w:highlight w:val="none"/>
              </w:rPr>
              <w:t>比例报价，满足磋商文件要求且</w:t>
            </w:r>
            <w:r>
              <w:rPr>
                <w:rFonts w:hint="eastAsia" w:ascii="宋体" w:hAnsi="宋体"/>
                <w:sz w:val="21"/>
                <w:szCs w:val="21"/>
                <w:highlight w:val="none"/>
                <w:lang w:eastAsia="zh-CN"/>
              </w:rPr>
              <w:t>优惠后的</w:t>
            </w:r>
            <w:r>
              <w:rPr>
                <w:rFonts w:hint="eastAsia" w:ascii="宋体" w:hAnsi="宋体"/>
                <w:sz w:val="21"/>
                <w:szCs w:val="21"/>
                <w:highlight w:val="none"/>
              </w:rPr>
              <w:t>投标报价</w:t>
            </w:r>
            <w:r>
              <w:rPr>
                <w:rFonts w:hint="eastAsia" w:ascii="宋体" w:hAnsi="宋体"/>
                <w:sz w:val="21"/>
                <w:szCs w:val="21"/>
                <w:highlight w:val="none"/>
                <w:lang w:eastAsia="zh-CN"/>
              </w:rPr>
              <w:t>最</w:t>
            </w:r>
            <w:bookmarkStart w:id="0" w:name="_GoBack"/>
            <w:bookmarkEnd w:id="0"/>
            <w:r>
              <w:rPr>
                <w:rFonts w:hint="eastAsia" w:ascii="宋体" w:hAnsi="宋体"/>
                <w:sz w:val="21"/>
                <w:szCs w:val="21"/>
                <w:highlight w:val="none"/>
                <w:lang w:eastAsia="zh-CN"/>
              </w:rPr>
              <w:t>低的</w:t>
            </w:r>
            <w:r>
              <w:rPr>
                <w:rFonts w:hint="eastAsia" w:ascii="宋体" w:hAnsi="宋体"/>
                <w:sz w:val="21"/>
                <w:szCs w:val="21"/>
                <w:highlight w:val="none"/>
              </w:rPr>
              <w:t>为评审基准价，其价格分为满分。其他供应商的价格分统一按照下列公式计算：</w:t>
            </w:r>
          </w:p>
          <w:p>
            <w:pPr>
              <w:jc w:val="left"/>
              <w:rPr>
                <w:rFonts w:hint="eastAsia" w:ascii="宋体" w:hAnsi="宋体"/>
                <w:sz w:val="21"/>
                <w:szCs w:val="21"/>
                <w:highlight w:val="none"/>
              </w:rPr>
            </w:pPr>
            <w:r>
              <w:rPr>
                <w:rFonts w:hint="eastAsia" w:ascii="宋体" w:hAnsi="宋体"/>
                <w:sz w:val="21"/>
                <w:szCs w:val="21"/>
                <w:highlight w:val="none"/>
              </w:rPr>
              <w:t>投标报价得分=（评审基准价／投标报价）×</w:t>
            </w:r>
            <w:r>
              <w:rPr>
                <w:rFonts w:hint="eastAsia" w:ascii="宋体" w:hAnsi="宋体"/>
                <w:sz w:val="21"/>
                <w:szCs w:val="21"/>
                <w:highlight w:val="none"/>
                <w:lang w:val="en-US" w:eastAsia="zh-CN"/>
              </w:rPr>
              <w:t>30</w:t>
            </w:r>
            <w:r>
              <w:rPr>
                <w:rFonts w:hint="eastAsia" w:ascii="宋体" w:hAnsi="宋体"/>
                <w:sz w:val="21"/>
                <w:szCs w:val="21"/>
                <w:highlight w:val="none"/>
              </w:rPr>
              <w:t>。</w:t>
            </w:r>
          </w:p>
          <w:p>
            <w:pPr>
              <w:keepNext w:val="0"/>
              <w:keepLines w:val="0"/>
              <w:pageBreakBefore w:val="0"/>
              <w:widowControl w:val="0"/>
              <w:kinsoku/>
              <w:wordWrap/>
              <w:overflowPunct/>
              <w:topLinePunct w:val="0"/>
              <w:autoSpaceDE/>
              <w:autoSpaceDN/>
              <w:bidi w:val="0"/>
              <w:adjustRightInd/>
              <w:snapToGrid w:val="0"/>
              <w:spacing w:line="360" w:lineRule="exact"/>
              <w:jc w:val="left"/>
              <w:textAlignment w:val="auto"/>
              <w:rPr>
                <w:rFonts w:hint="eastAsia" w:ascii="宋体" w:hAnsi="宋体" w:eastAsia="宋体" w:cs="宋体"/>
                <w:sz w:val="21"/>
                <w:szCs w:val="21"/>
                <w:highlight w:val="none"/>
                <w:lang w:val="en-US" w:eastAsia="zh-CN"/>
              </w:rPr>
            </w:pPr>
            <w:r>
              <w:rPr>
                <w:rFonts w:hint="eastAsia" w:ascii="宋体" w:hAnsi="宋体"/>
                <w:sz w:val="21"/>
                <w:szCs w:val="21"/>
                <w:highlight w:val="none"/>
              </w:rPr>
              <w:t>注：投标报价=</w:t>
            </w:r>
            <w:r>
              <w:rPr>
                <w:rFonts w:hint="eastAsia" w:ascii="宋体" w:hAnsi="宋体"/>
                <w:sz w:val="21"/>
                <w:szCs w:val="21"/>
                <w:highlight w:val="none"/>
                <w:lang w:val="en-US" w:eastAsia="zh-CN"/>
              </w:rPr>
              <w:t>基础金额</w:t>
            </w:r>
            <w:r>
              <w:rPr>
                <w:rFonts w:hint="eastAsia" w:ascii="宋体" w:hAnsi="宋体"/>
                <w:sz w:val="21"/>
                <w:szCs w:val="21"/>
                <w:highlight w:val="none"/>
              </w:rPr>
              <w:t>*（1</w:t>
            </w:r>
            <w:r>
              <w:rPr>
                <w:rFonts w:hint="eastAsia" w:ascii="宋体" w:hAnsi="宋体"/>
                <w:sz w:val="21"/>
                <w:szCs w:val="21"/>
                <w:highlight w:val="none"/>
                <w:lang w:val="en-US" w:eastAsia="zh-CN"/>
              </w:rPr>
              <w:t>-</w:t>
            </w:r>
            <w:r>
              <w:rPr>
                <w:rFonts w:hint="eastAsia" w:ascii="宋体" w:hAnsi="宋体"/>
                <w:sz w:val="21"/>
                <w:szCs w:val="21"/>
                <w:highlight w:val="none"/>
                <w:lang w:eastAsia="zh-CN"/>
              </w:rPr>
              <w:t>优惠</w:t>
            </w:r>
            <w:r>
              <w:rPr>
                <w:rFonts w:hint="eastAsia" w:ascii="宋体" w:hAnsi="宋体"/>
                <w:sz w:val="21"/>
                <w:szCs w:val="21"/>
                <w:highlight w:val="none"/>
              </w:rPr>
              <w:t>比例）。</w:t>
            </w:r>
          </w:p>
        </w:tc>
        <w:tc>
          <w:tcPr>
            <w:tcW w:w="20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360" w:lineRule="exact"/>
              <w:jc w:val="left"/>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8" w:hRule="atLeast"/>
        </w:trPr>
        <w:tc>
          <w:tcPr>
            <w:tcW w:w="7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2</w:t>
            </w:r>
          </w:p>
        </w:tc>
        <w:tc>
          <w:tcPr>
            <w:tcW w:w="157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投标服务方案</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cs="宋体"/>
                <w:color w:val="000000" w:themeColor="text1"/>
                <w:sz w:val="21"/>
                <w:szCs w:val="21"/>
                <w:highlight w:val="none"/>
                <w:lang w:val="en-US" w:eastAsia="zh-CN"/>
                <w14:textFill>
                  <w14:solidFill>
                    <w14:schemeClr w14:val="tx1"/>
                  </w14:solidFill>
                </w14:textFill>
              </w:rPr>
              <w:t>40</w:t>
            </w:r>
            <w:r>
              <w:rPr>
                <w:rFonts w:hint="eastAsia" w:ascii="宋体" w:hAnsi="宋体" w:eastAsia="宋体" w:cs="宋体"/>
                <w:color w:val="000000" w:themeColor="text1"/>
                <w:sz w:val="21"/>
                <w:szCs w:val="21"/>
                <w:highlight w:val="none"/>
                <w:lang w:val="en-US" w:eastAsia="zh-CN"/>
                <w14:textFill>
                  <w14:solidFill>
                    <w14:schemeClr w14:val="tx1"/>
                  </w14:solidFill>
                </w14:textFill>
              </w:rPr>
              <w:t>分</w:t>
            </w:r>
            <w:r>
              <w:rPr>
                <w:rFonts w:hint="eastAsia" w:ascii="宋体" w:hAnsi="宋体" w:eastAsia="宋体" w:cs="宋体"/>
                <w:color w:val="000000" w:themeColor="text1"/>
                <w:sz w:val="21"/>
                <w:szCs w:val="21"/>
                <w:highlight w:val="none"/>
                <w:lang w:eastAsia="zh-CN"/>
                <w14:textFill>
                  <w14:solidFill>
                    <w14:schemeClr w14:val="tx1"/>
                  </w14:solidFill>
                </w14:textFill>
              </w:rPr>
              <w:t>）</w:t>
            </w:r>
          </w:p>
        </w:tc>
        <w:tc>
          <w:tcPr>
            <w:tcW w:w="4500" w:type="dxa"/>
            <w:tcBorders>
              <w:top w:val="single" w:color="auto" w:sz="4" w:space="0"/>
              <w:left w:val="single" w:color="auto" w:sz="4" w:space="0"/>
              <w:bottom w:val="single" w:color="auto" w:sz="4" w:space="0"/>
              <w:right w:val="single" w:color="auto" w:sz="4" w:space="0"/>
            </w:tcBorders>
            <w:vAlign w:val="center"/>
          </w:tcPr>
          <w:p>
            <w:pPr>
              <w:numPr>
                <w:ilvl w:val="0"/>
                <w:numId w:val="0"/>
              </w:numPr>
              <w:spacing w:line="400" w:lineRule="exact"/>
              <w:rPr>
                <w:rFonts w:hint="default"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1.性价比</w:t>
            </w:r>
            <w:r>
              <w:rPr>
                <w:rFonts w:hint="eastAsia" w:ascii="宋体" w:hAnsi="宋体" w:cs="宋体"/>
                <w:color w:val="000000" w:themeColor="text1"/>
                <w:sz w:val="21"/>
                <w:szCs w:val="21"/>
                <w:highlight w:val="none"/>
                <w:lang w:val="en-US" w:eastAsia="zh-CN"/>
                <w14:textFill>
                  <w14:solidFill>
                    <w14:schemeClr w14:val="tx1"/>
                  </w14:solidFill>
                </w14:textFill>
              </w:rPr>
              <w:t>8分</w:t>
            </w:r>
            <w:r>
              <w:rPr>
                <w:rFonts w:hint="eastAsia" w:ascii="宋体" w:hAnsi="宋体" w:eastAsia="宋体" w:cs="宋体"/>
                <w:color w:val="000000" w:themeColor="text1"/>
                <w:sz w:val="21"/>
                <w:szCs w:val="21"/>
                <w:highlight w:val="none"/>
                <w:lang w:val="en-US" w:eastAsia="zh-CN"/>
                <w14:textFill>
                  <w14:solidFill>
                    <w14:schemeClr w14:val="tx1"/>
                  </w14:solidFill>
                </w14:textFill>
              </w:rPr>
              <w:t>。提供不少于米、面、粮油等产品的价格。</w:t>
            </w:r>
            <w:r>
              <w:rPr>
                <w:rFonts w:hint="eastAsia" w:ascii="宋体" w:hAnsi="宋体" w:cs="宋体"/>
                <w:color w:val="000000" w:themeColor="text1"/>
                <w:sz w:val="21"/>
                <w:szCs w:val="21"/>
                <w:highlight w:val="none"/>
                <w:lang w:val="en-US" w:eastAsia="zh-CN"/>
                <w14:textFill>
                  <w14:solidFill>
                    <w14:schemeClr w14:val="tx1"/>
                  </w14:solidFill>
                </w14:textFill>
              </w:rPr>
              <w:t>综合考虑品牌、产品质量、价格及丰富度情况。综合较好得6-8分；综合次之得3-5分；综合较差得2分及以下。</w:t>
            </w:r>
          </w:p>
          <w:p>
            <w:pPr>
              <w:numPr>
                <w:ilvl w:val="0"/>
                <w:numId w:val="0"/>
              </w:numPr>
              <w:spacing w:line="400" w:lineRule="exact"/>
              <w:ind w:leftChars="0"/>
              <w:rPr>
                <w:rFonts w:hint="default"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cs="宋体"/>
                <w:kern w:val="0"/>
                <w:szCs w:val="21"/>
                <w:highlight w:val="none"/>
                <w:lang w:val="en-US" w:eastAsia="zh-CN"/>
              </w:rPr>
              <w:t>2</w:t>
            </w:r>
            <w:r>
              <w:rPr>
                <w:rFonts w:hint="eastAsia" w:ascii="宋体" w:hAnsi="宋体" w:eastAsia="宋体" w:cs="宋体"/>
                <w:kern w:val="0"/>
                <w:szCs w:val="21"/>
                <w:highlight w:val="none"/>
                <w:lang w:val="en-US" w:eastAsia="zh-CN"/>
              </w:rPr>
              <w:t>.</w:t>
            </w:r>
            <w:r>
              <w:rPr>
                <w:rFonts w:hint="eastAsia" w:ascii="宋体" w:hAnsi="宋体" w:cs="宋体"/>
                <w:color w:val="000000" w:themeColor="text1"/>
                <w:sz w:val="21"/>
                <w:szCs w:val="21"/>
                <w:highlight w:val="none"/>
                <w:lang w:val="en-US" w:eastAsia="zh-CN"/>
                <w14:textFill>
                  <w14:solidFill>
                    <w14:schemeClr w14:val="tx1"/>
                  </w14:solidFill>
                </w14:textFill>
              </w:rPr>
              <w:t>服务措施18分。供应商针对本项目的服务措施，包括：①</w:t>
            </w:r>
            <w:r>
              <w:rPr>
                <w:rFonts w:hint="eastAsia" w:ascii="宋体" w:hAnsi="宋体"/>
                <w:sz w:val="21"/>
                <w:szCs w:val="21"/>
                <w:highlight w:val="none"/>
                <w:lang w:val="en-US" w:eastAsia="zh-CN"/>
              </w:rPr>
              <w:t>产品质量方案，包括</w:t>
            </w:r>
            <w:r>
              <w:rPr>
                <w:rFonts w:hint="eastAsia" w:ascii="宋体" w:hAnsi="宋体" w:cs="宋体"/>
                <w:color w:val="000000" w:themeColor="text1"/>
                <w:sz w:val="21"/>
                <w:szCs w:val="21"/>
                <w:highlight w:val="none"/>
                <w:lang w:val="en-US" w:eastAsia="zh-CN"/>
                <w14:textFill>
                  <w14:solidFill>
                    <w14:schemeClr w14:val="tx1"/>
                  </w14:solidFill>
                </w14:textFill>
              </w:rPr>
              <w:t>产品出现质量问题退换措施；②食品安全管理措施，包括</w:t>
            </w:r>
            <w:r>
              <w:rPr>
                <w:rFonts w:hint="eastAsia" w:ascii="宋体" w:hAnsi="宋体"/>
                <w:sz w:val="21"/>
                <w:szCs w:val="21"/>
                <w:highlight w:val="none"/>
                <w:lang w:val="en-US" w:eastAsia="zh-CN"/>
              </w:rPr>
              <w:t>供货渠道及备货方案、仓储管理、食品安全查验机制、食品安全事故的应急处置等</w:t>
            </w:r>
            <w:r>
              <w:rPr>
                <w:rFonts w:hint="eastAsia" w:ascii="宋体" w:hAnsi="宋体" w:cs="宋体"/>
                <w:color w:val="000000" w:themeColor="text1"/>
                <w:sz w:val="21"/>
                <w:szCs w:val="21"/>
                <w:highlight w:val="none"/>
                <w:lang w:val="en-US" w:eastAsia="zh-CN"/>
                <w14:textFill>
                  <w14:solidFill>
                    <w14:schemeClr w14:val="tx1"/>
                  </w14:solidFill>
                </w14:textFill>
              </w:rPr>
              <w:t>。内容完善、完全符合项目实际得18分，每有一处缺陷、错误扣2分，扣完为止，未提供不得分。</w:t>
            </w:r>
          </w:p>
          <w:p>
            <w:pPr>
              <w:keepNext w:val="0"/>
              <w:keepLines w:val="0"/>
              <w:pageBreakBefore w:val="0"/>
              <w:widowControl w:val="0"/>
              <w:kinsoku/>
              <w:wordWrap/>
              <w:overflowPunct/>
              <w:topLinePunct w:val="0"/>
              <w:autoSpaceDE/>
              <w:autoSpaceDN/>
              <w:bidi w:val="0"/>
              <w:adjustRightInd/>
              <w:snapToGrid w:val="0"/>
              <w:spacing w:line="360" w:lineRule="exact"/>
              <w:jc w:val="left"/>
              <w:textAlignment w:val="auto"/>
              <w:rPr>
                <w:rFonts w:hint="eastAsia" w:ascii="宋体" w:hAnsi="宋体" w:cs="宋体"/>
                <w:color w:val="000000" w:themeColor="text1"/>
                <w:sz w:val="21"/>
                <w:szCs w:val="21"/>
                <w:highlight w:val="none"/>
                <w:lang w:val="en-US" w:eastAsia="zh-CN"/>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3</w:t>
            </w:r>
            <w:r>
              <w:rPr>
                <w:rFonts w:hint="eastAsia" w:ascii="宋体" w:hAnsi="宋体" w:eastAsia="宋体" w:cs="宋体"/>
                <w:color w:val="000000" w:themeColor="text1"/>
                <w:sz w:val="21"/>
                <w:szCs w:val="21"/>
                <w:highlight w:val="none"/>
                <w:lang w:val="en-US" w:eastAsia="zh-CN"/>
                <w14:textFill>
                  <w14:solidFill>
                    <w14:schemeClr w14:val="tx1"/>
                  </w14:solidFill>
                </w14:textFill>
              </w:rPr>
              <w:t>.</w:t>
            </w:r>
            <w:r>
              <w:rPr>
                <w:rFonts w:hint="eastAsia" w:ascii="宋体" w:hAnsi="宋体" w:cs="宋体"/>
                <w:color w:val="000000" w:themeColor="text1"/>
                <w:sz w:val="21"/>
                <w:szCs w:val="21"/>
                <w:highlight w:val="none"/>
                <w:lang w:val="en-US" w:eastAsia="zh-CN"/>
                <w14:textFill>
                  <w14:solidFill>
                    <w14:schemeClr w14:val="tx1"/>
                  </w14:solidFill>
                </w14:textFill>
              </w:rPr>
              <w:t>慰问劵使用期限4分。使用期限为三年及以上者得4分，一年到三年得2分，一年以内得1分。</w:t>
            </w:r>
          </w:p>
          <w:p>
            <w:pPr>
              <w:keepNext w:val="0"/>
              <w:keepLines w:val="0"/>
              <w:pageBreakBefore w:val="0"/>
              <w:widowControl w:val="0"/>
              <w:kinsoku/>
              <w:wordWrap/>
              <w:overflowPunct/>
              <w:topLinePunct w:val="0"/>
              <w:autoSpaceDE/>
              <w:autoSpaceDN/>
              <w:bidi w:val="0"/>
              <w:adjustRightInd/>
              <w:snapToGrid w:val="0"/>
              <w:spacing w:line="360" w:lineRule="exact"/>
              <w:jc w:val="left"/>
              <w:textAlignment w:val="auto"/>
              <w:rPr>
                <w:rFonts w:hint="default" w:ascii="宋体" w:hAnsi="宋体" w:cs="宋体"/>
                <w:color w:val="000000" w:themeColor="text1"/>
                <w:sz w:val="21"/>
                <w:szCs w:val="21"/>
                <w:highlight w:val="none"/>
                <w:lang w:val="en-US" w:eastAsia="zh-CN"/>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4.根据需要，对发放的慰问券提供定制服务4分。包括印制医院名称、LOGO、IP形象等，以及特定的面额、祝福语等特色服务。</w:t>
            </w:r>
          </w:p>
          <w:p>
            <w:pPr>
              <w:keepNext w:val="0"/>
              <w:keepLines w:val="0"/>
              <w:pageBreakBefore w:val="0"/>
              <w:widowControl w:val="0"/>
              <w:kinsoku/>
              <w:wordWrap/>
              <w:overflowPunct/>
              <w:topLinePunct w:val="0"/>
              <w:autoSpaceDE/>
              <w:autoSpaceDN/>
              <w:bidi w:val="0"/>
              <w:adjustRightInd/>
              <w:snapToGrid w:val="0"/>
              <w:spacing w:line="360" w:lineRule="exact"/>
              <w:jc w:val="left"/>
              <w:textAlignment w:val="auto"/>
              <w:rPr>
                <w:rFonts w:hint="eastAsia" w:ascii="宋体" w:hAnsi="宋体"/>
                <w:sz w:val="21"/>
                <w:szCs w:val="21"/>
                <w:highlight w:val="none"/>
              </w:rPr>
            </w:pPr>
            <w:r>
              <w:rPr>
                <w:rFonts w:hint="eastAsia" w:ascii="宋体" w:hAnsi="宋体" w:cs="宋体"/>
                <w:color w:val="000000" w:themeColor="text1"/>
                <w:sz w:val="21"/>
                <w:szCs w:val="21"/>
                <w:highlight w:val="none"/>
                <w:lang w:val="en-US" w:eastAsia="zh-CN"/>
                <w14:textFill>
                  <w14:solidFill>
                    <w14:schemeClr w14:val="tx1"/>
                  </w14:solidFill>
                </w14:textFill>
              </w:rPr>
              <w:t>5.提供配送等服务6分。对医院集中采购的慰问劵提供送货上门、快递配送、配合发放等服务，每项得2分，最高6分。</w:t>
            </w:r>
          </w:p>
        </w:tc>
        <w:tc>
          <w:tcPr>
            <w:tcW w:w="20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360" w:lineRule="exact"/>
              <w:jc w:val="left"/>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8" w:hRule="atLeast"/>
        </w:trPr>
        <w:tc>
          <w:tcPr>
            <w:tcW w:w="7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3</w:t>
            </w:r>
          </w:p>
        </w:tc>
        <w:tc>
          <w:tcPr>
            <w:tcW w:w="157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服务便利性（16分）</w:t>
            </w:r>
          </w:p>
        </w:tc>
        <w:tc>
          <w:tcPr>
            <w:tcW w:w="4500" w:type="dxa"/>
            <w:tcBorders>
              <w:top w:val="single" w:color="auto" w:sz="4" w:space="0"/>
              <w:left w:val="single" w:color="auto" w:sz="4" w:space="0"/>
              <w:bottom w:val="single" w:color="auto" w:sz="4" w:space="0"/>
              <w:right w:val="single" w:color="auto" w:sz="4" w:space="0"/>
            </w:tcBorders>
            <w:vAlign w:val="center"/>
          </w:tcPr>
          <w:p>
            <w:pPr>
              <w:numPr>
                <w:ilvl w:val="0"/>
                <w:numId w:val="0"/>
              </w:numPr>
              <w:rPr>
                <w:rFonts w:hint="eastAsia" w:cs="Times New Roman"/>
                <w:kern w:val="2"/>
                <w:sz w:val="21"/>
                <w:szCs w:val="24"/>
                <w:highlight w:val="none"/>
                <w:lang w:val="en-US" w:eastAsia="zh-CN" w:bidi="ar-SA"/>
              </w:rPr>
            </w:pPr>
            <w:r>
              <w:rPr>
                <w:rFonts w:hint="eastAsia" w:ascii="Times New Roman" w:hAnsi="Times New Roman" w:eastAsia="宋体" w:cs="Times New Roman"/>
                <w:kern w:val="2"/>
                <w:sz w:val="21"/>
                <w:szCs w:val="24"/>
                <w:highlight w:val="none"/>
                <w:lang w:val="en-US" w:eastAsia="zh-CN" w:bidi="ar-SA"/>
              </w:rPr>
              <w:t>1</w:t>
            </w:r>
            <w:r>
              <w:rPr>
                <w:rFonts w:hint="eastAsia" w:cs="Times New Roman"/>
                <w:kern w:val="2"/>
                <w:sz w:val="21"/>
                <w:szCs w:val="24"/>
                <w:highlight w:val="none"/>
                <w:lang w:val="en-US" w:eastAsia="zh-CN" w:bidi="ar-SA"/>
              </w:rPr>
              <w:t>.供应商实体门店情况</w:t>
            </w:r>
            <w:r>
              <w:rPr>
                <w:rFonts w:hint="eastAsia" w:ascii="宋体" w:hAnsi="宋体" w:cs="宋体"/>
                <w:color w:val="000000" w:themeColor="text1"/>
                <w:sz w:val="21"/>
                <w:szCs w:val="21"/>
                <w:highlight w:val="none"/>
                <w:lang w:val="en-US" w:eastAsia="zh-CN"/>
                <w14:textFill>
                  <w14:solidFill>
                    <w14:schemeClr w14:val="tx1"/>
                  </w14:solidFill>
                </w14:textFill>
              </w:rPr>
              <w:t>10分。根据成都市区范围内的实体门店数量进行评分，可使用门店30个及以上者得10分，30个以下得4分，若无不得分。</w:t>
            </w:r>
          </w:p>
          <w:p>
            <w:pPr>
              <w:numPr>
                <w:ilvl w:val="0"/>
                <w:numId w:val="0"/>
              </w:numPr>
              <w:rPr>
                <w:rFonts w:hint="eastAsia"/>
                <w:highlight w:val="none"/>
                <w:lang w:val="en-US" w:eastAsia="zh-CN"/>
              </w:rPr>
            </w:pPr>
            <w:r>
              <w:rPr>
                <w:rFonts w:hint="eastAsia"/>
                <w:highlight w:val="none"/>
                <w:lang w:val="en-US" w:eastAsia="zh-CN"/>
              </w:rPr>
              <w:t>2.供应商同时有网络服务平台的，成都市区范围内可配送到家的得3分；本项最多得3分。</w:t>
            </w:r>
          </w:p>
          <w:p>
            <w:pPr>
              <w:numPr>
                <w:ilvl w:val="0"/>
                <w:numId w:val="0"/>
              </w:numPr>
              <w:ind w:left="0" w:leftChars="0" w:firstLine="0" w:firstLineChars="0"/>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cs="Times New Roman"/>
                <w:kern w:val="2"/>
                <w:sz w:val="21"/>
                <w:szCs w:val="24"/>
                <w:highlight w:val="none"/>
                <w:lang w:val="en-US" w:eastAsia="zh-CN" w:bidi="ar-SA"/>
              </w:rPr>
              <w:t>3.</w:t>
            </w:r>
            <w:r>
              <w:rPr>
                <w:rFonts w:hint="eastAsia"/>
                <w:highlight w:val="none"/>
              </w:rPr>
              <w:t>供应商投标时承诺为采购人提供定制化线上商城的</w:t>
            </w:r>
            <w:r>
              <w:rPr>
                <w:rFonts w:hint="eastAsia"/>
                <w:highlight w:val="none"/>
                <w:lang w:eastAsia="zh-CN"/>
              </w:rPr>
              <w:t>得</w:t>
            </w:r>
            <w:r>
              <w:rPr>
                <w:rFonts w:hint="eastAsia"/>
                <w:highlight w:val="none"/>
                <w:lang w:val="en-US" w:eastAsia="zh-CN"/>
              </w:rPr>
              <w:t>3</w:t>
            </w:r>
            <w:r>
              <w:rPr>
                <w:rFonts w:hint="eastAsia"/>
                <w:highlight w:val="none"/>
              </w:rPr>
              <w:t>分。（供应商在投标时承诺成交后在规定时间内完成定制化线上商城的程序）本项最多得</w:t>
            </w:r>
            <w:r>
              <w:rPr>
                <w:rFonts w:hint="eastAsia"/>
                <w:highlight w:val="none"/>
                <w:lang w:val="en-US" w:eastAsia="zh-CN"/>
              </w:rPr>
              <w:t>3</w:t>
            </w:r>
            <w:r>
              <w:rPr>
                <w:rFonts w:hint="eastAsia"/>
                <w:highlight w:val="none"/>
              </w:rPr>
              <w:t>分。</w:t>
            </w:r>
          </w:p>
        </w:tc>
        <w:tc>
          <w:tcPr>
            <w:tcW w:w="20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8" w:hRule="atLeast"/>
        </w:trPr>
        <w:tc>
          <w:tcPr>
            <w:tcW w:w="7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auto"/>
              <w:rPr>
                <w:rFonts w:hint="default" w:ascii="宋体" w:hAnsi="宋体" w:cs="宋体"/>
                <w:color w:val="000000" w:themeColor="text1"/>
                <w:sz w:val="21"/>
                <w:szCs w:val="21"/>
                <w:highlight w:val="none"/>
                <w:lang w:val="en-US" w:eastAsia="zh-CN"/>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4</w:t>
            </w:r>
          </w:p>
        </w:tc>
        <w:tc>
          <w:tcPr>
            <w:tcW w:w="157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auto"/>
              <w:rPr>
                <w:rFonts w:hint="eastAsia" w:ascii="宋体" w:hAnsi="宋体" w:cs="宋体"/>
                <w:color w:val="000000" w:themeColor="text1"/>
                <w:sz w:val="21"/>
                <w:szCs w:val="21"/>
                <w:highlight w:val="none"/>
                <w:lang w:val="en-US" w:eastAsia="zh-CN"/>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供应商业绩</w:t>
            </w:r>
          </w:p>
          <w:p>
            <w:pPr>
              <w:keepNext w:val="0"/>
              <w:keepLines w:val="0"/>
              <w:pageBreakBefore w:val="0"/>
              <w:widowControl w:val="0"/>
              <w:kinsoku/>
              <w:wordWrap/>
              <w:overflowPunct/>
              <w:topLinePunct w:val="0"/>
              <w:autoSpaceDE/>
              <w:autoSpaceDN/>
              <w:bidi w:val="0"/>
              <w:adjustRightInd/>
              <w:snapToGrid w:val="0"/>
              <w:spacing w:line="360" w:lineRule="exact"/>
              <w:jc w:val="center"/>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cs="宋体"/>
                <w:color w:val="000000" w:themeColor="text1"/>
                <w:sz w:val="21"/>
                <w:szCs w:val="21"/>
                <w:highlight w:val="none"/>
                <w:lang w:val="en-US" w:eastAsia="zh-CN"/>
                <w14:textFill>
                  <w14:solidFill>
                    <w14:schemeClr w14:val="tx1"/>
                  </w14:solidFill>
                </w14:textFill>
              </w:rPr>
              <w:t>8</w:t>
            </w:r>
            <w:r>
              <w:rPr>
                <w:rFonts w:hint="eastAsia" w:ascii="宋体" w:hAnsi="宋体" w:eastAsia="宋体" w:cs="宋体"/>
                <w:color w:val="000000" w:themeColor="text1"/>
                <w:sz w:val="21"/>
                <w:szCs w:val="21"/>
                <w:highlight w:val="none"/>
                <w14:textFill>
                  <w14:solidFill>
                    <w14:schemeClr w14:val="tx1"/>
                  </w14:solidFill>
                </w14:textFill>
              </w:rPr>
              <w:t>分）</w:t>
            </w:r>
          </w:p>
        </w:tc>
        <w:tc>
          <w:tcPr>
            <w:tcW w:w="450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360" w:lineRule="exact"/>
              <w:jc w:val="left"/>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供应商自202</w:t>
            </w:r>
            <w:r>
              <w:rPr>
                <w:rFonts w:hint="eastAsia" w:ascii="宋体" w:hAnsi="宋体" w:cs="宋体"/>
                <w:color w:val="000000" w:themeColor="text1"/>
                <w:sz w:val="21"/>
                <w:szCs w:val="21"/>
                <w:highlight w:val="none"/>
                <w:lang w:val="en-US" w:eastAsia="zh-CN"/>
                <w14:textFill>
                  <w14:solidFill>
                    <w14:schemeClr w14:val="tx1"/>
                  </w14:solidFill>
                </w14:textFill>
              </w:rPr>
              <w:t>1</w:t>
            </w:r>
            <w:r>
              <w:rPr>
                <w:rFonts w:hint="eastAsia" w:ascii="宋体" w:hAnsi="宋体" w:eastAsia="宋体" w:cs="宋体"/>
                <w:color w:val="000000" w:themeColor="text1"/>
                <w:sz w:val="21"/>
                <w:szCs w:val="21"/>
                <w:highlight w:val="none"/>
                <w:lang w:val="en-US" w:eastAsia="zh-CN"/>
                <w14:textFill>
                  <w14:solidFill>
                    <w14:schemeClr w14:val="tx1"/>
                  </w14:solidFill>
                </w14:textFill>
              </w:rPr>
              <w:t>年1月1日以来同类项目业绩（每份合同</w:t>
            </w:r>
            <w:r>
              <w:rPr>
                <w:rFonts w:hint="eastAsia" w:ascii="宋体" w:hAnsi="宋体" w:cs="宋体"/>
                <w:color w:val="000000" w:themeColor="text1"/>
                <w:sz w:val="21"/>
                <w:szCs w:val="21"/>
                <w:highlight w:val="none"/>
                <w:lang w:val="en-US" w:eastAsia="zh-CN"/>
                <w14:textFill>
                  <w14:solidFill>
                    <w14:schemeClr w14:val="tx1"/>
                  </w14:solidFill>
                </w14:textFill>
              </w:rPr>
              <w:t>2</w:t>
            </w:r>
            <w:r>
              <w:rPr>
                <w:rFonts w:hint="eastAsia" w:ascii="宋体" w:hAnsi="宋体" w:eastAsia="宋体" w:cs="宋体"/>
                <w:color w:val="000000" w:themeColor="text1"/>
                <w:sz w:val="21"/>
                <w:szCs w:val="21"/>
                <w:highlight w:val="none"/>
                <w:lang w:val="en-US" w:eastAsia="zh-CN"/>
                <w14:textFill>
                  <w14:solidFill>
                    <w14:schemeClr w14:val="tx1"/>
                  </w14:solidFill>
                </w14:textFill>
              </w:rPr>
              <w:t>分，最高</w:t>
            </w:r>
            <w:r>
              <w:rPr>
                <w:rFonts w:hint="eastAsia" w:ascii="宋体" w:hAnsi="宋体" w:cs="宋体"/>
                <w:color w:val="000000" w:themeColor="text1"/>
                <w:sz w:val="21"/>
                <w:szCs w:val="21"/>
                <w:highlight w:val="none"/>
                <w:lang w:val="en-US" w:eastAsia="zh-CN"/>
                <w14:textFill>
                  <w14:solidFill>
                    <w14:schemeClr w14:val="tx1"/>
                  </w14:solidFill>
                </w14:textFill>
              </w:rPr>
              <w:t>8</w:t>
            </w:r>
            <w:r>
              <w:rPr>
                <w:rFonts w:hint="eastAsia" w:ascii="宋体" w:hAnsi="宋体" w:eastAsia="宋体" w:cs="宋体"/>
                <w:color w:val="000000" w:themeColor="text1"/>
                <w:sz w:val="21"/>
                <w:szCs w:val="21"/>
                <w:highlight w:val="none"/>
                <w:lang w:val="en-US" w:eastAsia="zh-CN"/>
                <w14:textFill>
                  <w14:solidFill>
                    <w14:schemeClr w14:val="tx1"/>
                  </w14:solidFill>
                </w14:textFill>
              </w:rPr>
              <w:t>分，业绩以投标文件中提供的合同复印件为准）</w:t>
            </w:r>
          </w:p>
        </w:tc>
        <w:tc>
          <w:tcPr>
            <w:tcW w:w="20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360" w:lineRule="exact"/>
              <w:jc w:val="left"/>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8" w:hRule="atLeast"/>
        </w:trPr>
        <w:tc>
          <w:tcPr>
            <w:tcW w:w="7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auto"/>
              <w:rPr>
                <w:rFonts w:hint="default" w:ascii="宋体" w:hAnsi="宋体" w:cs="宋体"/>
                <w:color w:val="000000" w:themeColor="text1"/>
                <w:sz w:val="21"/>
                <w:szCs w:val="21"/>
                <w:highlight w:val="none"/>
                <w:lang w:val="en-US" w:eastAsia="zh-CN"/>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5</w:t>
            </w:r>
          </w:p>
        </w:tc>
        <w:tc>
          <w:tcPr>
            <w:tcW w:w="157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auto"/>
              <w:rPr>
                <w:rFonts w:hint="eastAsia" w:ascii="宋体" w:hAnsi="宋体"/>
                <w:sz w:val="21"/>
                <w:szCs w:val="21"/>
                <w:highlight w:val="none"/>
              </w:rPr>
            </w:pPr>
            <w:r>
              <w:rPr>
                <w:rFonts w:hint="eastAsia" w:ascii="宋体" w:hAnsi="宋体"/>
                <w:sz w:val="21"/>
                <w:szCs w:val="21"/>
                <w:highlight w:val="none"/>
              </w:rPr>
              <w:t>信誉及实力</w:t>
            </w:r>
          </w:p>
          <w:p>
            <w:pPr>
              <w:keepNext w:val="0"/>
              <w:keepLines w:val="0"/>
              <w:pageBreakBefore w:val="0"/>
              <w:widowControl w:val="0"/>
              <w:kinsoku/>
              <w:wordWrap/>
              <w:overflowPunct/>
              <w:topLinePunct w:val="0"/>
              <w:autoSpaceDE/>
              <w:autoSpaceDN/>
              <w:bidi w:val="0"/>
              <w:adjustRightInd/>
              <w:snapToGrid w:val="0"/>
              <w:spacing w:line="360" w:lineRule="exact"/>
              <w:jc w:val="center"/>
              <w:textAlignment w:val="auto"/>
              <w:rPr>
                <w:rFonts w:hint="default" w:ascii="宋体" w:hAnsi="宋体" w:cs="宋体"/>
                <w:color w:val="000000" w:themeColor="text1"/>
                <w:sz w:val="21"/>
                <w:szCs w:val="21"/>
                <w:highlight w:val="none"/>
                <w:lang w:val="en-US" w:eastAsia="zh-CN"/>
                <w14:textFill>
                  <w14:solidFill>
                    <w14:schemeClr w14:val="tx1"/>
                  </w14:solidFill>
                </w14:textFill>
              </w:rPr>
            </w:pPr>
            <w:r>
              <w:rPr>
                <w:rFonts w:hint="eastAsia" w:ascii="宋体" w:hAnsi="宋体"/>
                <w:sz w:val="21"/>
                <w:szCs w:val="21"/>
                <w:highlight w:val="none"/>
                <w:lang w:val="en-US" w:eastAsia="zh-CN"/>
              </w:rPr>
              <w:t>（6</w:t>
            </w:r>
            <w:r>
              <w:rPr>
                <w:rFonts w:hint="eastAsia" w:ascii="宋体" w:hAnsi="宋体" w:cs="宋体"/>
                <w:color w:val="000000" w:themeColor="text1"/>
                <w:sz w:val="21"/>
                <w:szCs w:val="21"/>
                <w:highlight w:val="none"/>
                <w:lang w:val="en-US" w:eastAsia="zh-CN"/>
                <w14:textFill>
                  <w14:solidFill>
                    <w14:schemeClr w14:val="tx1"/>
                  </w14:solidFill>
                </w14:textFill>
              </w:rPr>
              <w:t>分）</w:t>
            </w:r>
          </w:p>
        </w:tc>
        <w:tc>
          <w:tcPr>
            <w:tcW w:w="4500" w:type="dxa"/>
            <w:tcBorders>
              <w:top w:val="single" w:color="auto" w:sz="4" w:space="0"/>
              <w:left w:val="single" w:color="auto" w:sz="4" w:space="0"/>
              <w:bottom w:val="single" w:color="auto" w:sz="4" w:space="0"/>
              <w:right w:val="single" w:color="auto" w:sz="4" w:space="0"/>
            </w:tcBorders>
            <w:vAlign w:val="center"/>
          </w:tcPr>
          <w:p>
            <w:pPr>
              <w:ind w:firstLine="28"/>
              <w:rPr>
                <w:rFonts w:hint="eastAsia" w:ascii="宋体" w:hAnsi="宋体"/>
                <w:sz w:val="21"/>
                <w:szCs w:val="21"/>
                <w:highlight w:val="none"/>
              </w:rPr>
            </w:pPr>
            <w:r>
              <w:rPr>
                <w:rFonts w:hint="eastAsia" w:ascii="宋体" w:hAnsi="宋体"/>
                <w:sz w:val="21"/>
                <w:szCs w:val="21"/>
                <w:highlight w:val="none"/>
              </w:rPr>
              <w:t>1</w:t>
            </w:r>
            <w:r>
              <w:rPr>
                <w:rFonts w:hint="eastAsia" w:ascii="宋体" w:hAnsi="宋体"/>
                <w:sz w:val="21"/>
                <w:szCs w:val="21"/>
                <w:highlight w:val="none"/>
                <w:lang w:val="en-US" w:eastAsia="zh-CN"/>
              </w:rPr>
              <w:t>.</w:t>
            </w:r>
            <w:r>
              <w:rPr>
                <w:rFonts w:hint="eastAsia" w:ascii="宋体" w:hAnsi="宋体"/>
                <w:sz w:val="21"/>
                <w:szCs w:val="21"/>
                <w:highlight w:val="none"/>
              </w:rPr>
              <w:t>供应商具有质量管理体系认证得</w:t>
            </w:r>
            <w:r>
              <w:rPr>
                <w:rFonts w:hint="eastAsia" w:ascii="宋体" w:hAnsi="宋体"/>
                <w:sz w:val="21"/>
                <w:szCs w:val="21"/>
                <w:highlight w:val="none"/>
                <w:lang w:val="en-US" w:eastAsia="zh-CN"/>
              </w:rPr>
              <w:t>2</w:t>
            </w:r>
            <w:r>
              <w:rPr>
                <w:rFonts w:hint="eastAsia" w:ascii="宋体" w:hAnsi="宋体"/>
                <w:sz w:val="21"/>
                <w:szCs w:val="21"/>
                <w:highlight w:val="none"/>
              </w:rPr>
              <w:t>分。</w:t>
            </w:r>
          </w:p>
          <w:p>
            <w:pPr>
              <w:ind w:firstLine="28"/>
              <w:rPr>
                <w:rFonts w:hint="eastAsia" w:ascii="宋体" w:hAnsi="宋体"/>
                <w:sz w:val="21"/>
                <w:szCs w:val="21"/>
                <w:highlight w:val="none"/>
              </w:rPr>
            </w:pPr>
            <w:r>
              <w:rPr>
                <w:rFonts w:hint="eastAsia" w:ascii="宋体" w:hAnsi="宋体"/>
                <w:sz w:val="21"/>
                <w:szCs w:val="21"/>
                <w:highlight w:val="none"/>
              </w:rPr>
              <w:t>2</w:t>
            </w:r>
            <w:r>
              <w:rPr>
                <w:rFonts w:hint="eastAsia" w:ascii="宋体" w:hAnsi="宋体"/>
                <w:sz w:val="21"/>
                <w:szCs w:val="21"/>
                <w:highlight w:val="none"/>
                <w:lang w:val="en-US" w:eastAsia="zh-CN"/>
              </w:rPr>
              <w:t>.</w:t>
            </w:r>
            <w:r>
              <w:rPr>
                <w:rFonts w:hint="eastAsia" w:ascii="宋体" w:hAnsi="宋体"/>
                <w:sz w:val="21"/>
                <w:szCs w:val="21"/>
                <w:highlight w:val="none"/>
              </w:rPr>
              <w:t>供应商具有环境管理体系认证证书得</w:t>
            </w:r>
            <w:r>
              <w:rPr>
                <w:rFonts w:hint="eastAsia" w:ascii="宋体" w:hAnsi="宋体"/>
                <w:sz w:val="21"/>
                <w:szCs w:val="21"/>
                <w:highlight w:val="none"/>
                <w:lang w:val="en-US" w:eastAsia="zh-CN"/>
              </w:rPr>
              <w:t>2</w:t>
            </w:r>
            <w:r>
              <w:rPr>
                <w:rFonts w:hint="eastAsia" w:ascii="宋体" w:hAnsi="宋体"/>
                <w:sz w:val="21"/>
                <w:szCs w:val="21"/>
                <w:highlight w:val="none"/>
              </w:rPr>
              <w:t>分。</w:t>
            </w:r>
          </w:p>
          <w:p>
            <w:pPr>
              <w:ind w:firstLine="28"/>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sz w:val="21"/>
                <w:szCs w:val="21"/>
                <w:highlight w:val="none"/>
              </w:rPr>
              <w:t>3</w:t>
            </w:r>
            <w:r>
              <w:rPr>
                <w:rFonts w:hint="eastAsia" w:ascii="宋体" w:hAnsi="宋体"/>
                <w:sz w:val="21"/>
                <w:szCs w:val="21"/>
                <w:highlight w:val="none"/>
                <w:lang w:eastAsia="zh-CN"/>
              </w:rPr>
              <w:t>.</w:t>
            </w:r>
            <w:r>
              <w:rPr>
                <w:rFonts w:hint="eastAsia" w:ascii="宋体" w:hAnsi="宋体"/>
                <w:sz w:val="21"/>
                <w:szCs w:val="21"/>
                <w:highlight w:val="none"/>
              </w:rPr>
              <w:t>供应商具有职业健康安全管理体系认证得</w:t>
            </w:r>
            <w:r>
              <w:rPr>
                <w:rFonts w:hint="eastAsia" w:ascii="宋体" w:hAnsi="宋体"/>
                <w:sz w:val="21"/>
                <w:szCs w:val="21"/>
                <w:highlight w:val="none"/>
                <w:lang w:val="en-US" w:eastAsia="zh-CN"/>
              </w:rPr>
              <w:t>2</w:t>
            </w:r>
            <w:r>
              <w:rPr>
                <w:rFonts w:hint="eastAsia" w:ascii="宋体" w:hAnsi="宋体"/>
                <w:sz w:val="21"/>
                <w:szCs w:val="21"/>
                <w:highlight w:val="none"/>
              </w:rPr>
              <w:t>分。</w:t>
            </w:r>
          </w:p>
        </w:tc>
        <w:tc>
          <w:tcPr>
            <w:tcW w:w="20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360" w:lineRule="exact"/>
              <w:jc w:val="left"/>
              <w:textAlignment w:val="auto"/>
              <w:rPr>
                <w:rFonts w:hint="default"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请提供</w:t>
            </w:r>
            <w:r>
              <w:rPr>
                <w:rFonts w:hint="eastAsia" w:ascii="宋体" w:hAnsi="宋体" w:cs="宋体"/>
                <w:color w:val="000000" w:themeColor="text1"/>
                <w:sz w:val="21"/>
                <w:szCs w:val="21"/>
                <w:highlight w:val="none"/>
                <w:lang w:val="en-US" w:eastAsia="zh-CN"/>
                <w14:textFill>
                  <w14:solidFill>
                    <w14:schemeClr w14:val="tx1"/>
                  </w14:solidFill>
                </w14:textFill>
              </w:rPr>
              <w:t>资质证书复印件或扫描件</w:t>
            </w:r>
          </w:p>
        </w:tc>
      </w:tr>
    </w:tbl>
    <w:p>
      <w:pPr>
        <w:rPr>
          <w:rFonts w:hint="default" w:eastAsia="宋体"/>
          <w:lang w:val="en-US" w:eastAsia="zh-CN"/>
        </w:rPr>
      </w:pPr>
    </w:p>
    <w:p>
      <w:pPr>
        <w:pStyle w:val="2"/>
        <w:rPr>
          <w:rFonts w:hint="default"/>
          <w:lang w:val="en-US" w:eastAsia="zh-CN"/>
        </w:rPr>
      </w:pPr>
    </w:p>
    <w:p>
      <w:pPr>
        <w:pStyle w:val="2"/>
        <w:rPr>
          <w:rFonts w:hint="default"/>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xOGM2Nzg0YTIzZTRkMzUwNGQxYzFkNGI3MWI4YWUifQ=="/>
  </w:docVars>
  <w:rsids>
    <w:rsidRoot w:val="63CC705F"/>
    <w:rsid w:val="000F5F0F"/>
    <w:rsid w:val="01137022"/>
    <w:rsid w:val="02107904"/>
    <w:rsid w:val="028C051D"/>
    <w:rsid w:val="03305D42"/>
    <w:rsid w:val="0D984ECC"/>
    <w:rsid w:val="0E9432F4"/>
    <w:rsid w:val="166761D4"/>
    <w:rsid w:val="196A7A58"/>
    <w:rsid w:val="19755D1C"/>
    <w:rsid w:val="1D5F73D7"/>
    <w:rsid w:val="1F150F90"/>
    <w:rsid w:val="259A4E30"/>
    <w:rsid w:val="265A3664"/>
    <w:rsid w:val="2B4719FF"/>
    <w:rsid w:val="2BE305FB"/>
    <w:rsid w:val="2C3744CA"/>
    <w:rsid w:val="2D7F70E6"/>
    <w:rsid w:val="2E2043CE"/>
    <w:rsid w:val="31340992"/>
    <w:rsid w:val="32780D9A"/>
    <w:rsid w:val="32FF72A7"/>
    <w:rsid w:val="3AD510B0"/>
    <w:rsid w:val="3E802EF7"/>
    <w:rsid w:val="3F533F56"/>
    <w:rsid w:val="40D0279D"/>
    <w:rsid w:val="43B37DC1"/>
    <w:rsid w:val="444E4A33"/>
    <w:rsid w:val="4538576E"/>
    <w:rsid w:val="45742A88"/>
    <w:rsid w:val="4B106A1B"/>
    <w:rsid w:val="4B120400"/>
    <w:rsid w:val="4BBF09A8"/>
    <w:rsid w:val="4BFC1F5C"/>
    <w:rsid w:val="4D9E6C78"/>
    <w:rsid w:val="4E32686D"/>
    <w:rsid w:val="590D5D3B"/>
    <w:rsid w:val="59563FA0"/>
    <w:rsid w:val="5E6B109B"/>
    <w:rsid w:val="5F145314"/>
    <w:rsid w:val="5F492BBF"/>
    <w:rsid w:val="5FC210BD"/>
    <w:rsid w:val="63132C95"/>
    <w:rsid w:val="63CC705F"/>
    <w:rsid w:val="66134265"/>
    <w:rsid w:val="684024CC"/>
    <w:rsid w:val="68650764"/>
    <w:rsid w:val="6B2856E8"/>
    <w:rsid w:val="6BCC0CBD"/>
    <w:rsid w:val="705C5332"/>
    <w:rsid w:val="70B76B39"/>
    <w:rsid w:val="71716735"/>
    <w:rsid w:val="72186DEE"/>
    <w:rsid w:val="748D63D4"/>
    <w:rsid w:val="78742949"/>
    <w:rsid w:val="7A87780D"/>
    <w:rsid w:val="7FEB0B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4"/>
    <w:qFormat/>
    <w:uiPriority w:val="0"/>
    <w:pPr>
      <w:keepNext/>
      <w:keepLines/>
      <w:spacing w:before="260" w:after="260" w:line="500" w:lineRule="exact"/>
      <w:outlineLvl w:val="1"/>
    </w:pPr>
    <w:rPr>
      <w:rFonts w:ascii="Arial" w:hAnsi="Arial" w:eastAsia="黑体"/>
      <w:b/>
      <w:sz w:val="28"/>
      <w:szCs w:val="20"/>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spacing w:after="120"/>
    </w:pPr>
    <w:rPr>
      <w:rFonts w:ascii="Times New Roman"/>
      <w:szCs w:val="24"/>
    </w:rPr>
  </w:style>
  <w:style w:type="paragraph" w:styleId="4">
    <w:name w:val="Normal Indent"/>
    <w:basedOn w:val="1"/>
    <w:qFormat/>
    <w:uiPriority w:val="0"/>
    <w:pPr>
      <w:ind w:firstLine="420" w:firstLineChars="200"/>
    </w:p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BodyText"/>
    <w:basedOn w:val="1"/>
    <w:qFormat/>
    <w:uiPriority w:val="0"/>
    <w:pPr>
      <w:spacing w:after="120"/>
      <w:jc w:val="both"/>
      <w:textAlignment w:val="baseline"/>
    </w:pPr>
    <w:rPr>
      <w:rFonts w:ascii="Times New Roman"/>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707</Words>
  <Characters>740</Characters>
  <Lines>0</Lines>
  <Paragraphs>0</Paragraphs>
  <TotalTime>16</TotalTime>
  <ScaleCrop>false</ScaleCrop>
  <LinksUpToDate>false</LinksUpToDate>
  <CharactersWithSpaces>743</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2022-06-16T02:53:00Z</dcterms:created>
  <dc:creator>Claire</dc:creator>
  <cp:lastModifiedBy>Cynthia</cp:lastModifiedBy>
  <cp:lastPrinted>2023-08-16T07:04:00Z</cp:lastPrinted>
  <dcterms:modified xsi:type="dcterms:W3CDTF">2024-03-27T07:13:53Z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6CC36346F5DA45FFBE81EF7DDF4AF37B_13</vt:lpwstr>
  </property>
</Properties>
</file>