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SCFY-YXZB202404-001（磋）</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9.61万元/</w:t>
      </w:r>
      <w:bookmarkStart w:id="134" w:name="_GoBack"/>
      <w:bookmarkEnd w:id="134"/>
      <w:r>
        <w:rPr>
          <w:rFonts w:hint="eastAsia" w:ascii="宋体" w:hAnsi="宋体" w:eastAsia="宋体" w:cs="仿宋"/>
          <w:sz w:val="24"/>
          <w:szCs w:val="24"/>
          <w:lang w:val="en-US" w:eastAsia="zh-CN"/>
        </w:rPr>
        <w:t>年</w:t>
      </w:r>
    </w:p>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r>
        <w:rPr>
          <w:rFonts w:hint="eastAsia" w:ascii="宋体" w:hAnsi="宋体" w:eastAsia="宋体" w:cs="仿宋"/>
          <w:sz w:val="24"/>
          <w:szCs w:val="24"/>
        </w:rPr>
        <w:t>项目清单及技术要求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463"/>
        <w:gridCol w:w="1387"/>
        <w:gridCol w:w="1020"/>
        <w:gridCol w:w="941"/>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0" w:type="auto"/>
            <w:gridSpan w:val="6"/>
            <w:tcBorders>
              <w:top w:val="nil"/>
              <w:left w:val="nil"/>
              <w:right w:val="nil"/>
            </w:tcBorders>
            <w:vAlign w:val="center"/>
          </w:tcPr>
          <w:p>
            <w:pPr>
              <w:ind w:right="-141" w:rightChars="-67"/>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0" w:type="auto"/>
            <w:vMerge w:val="restart"/>
            <w:vAlign w:val="center"/>
          </w:tcPr>
          <w:p>
            <w:pPr>
              <w:spacing w:line="420" w:lineRule="exact"/>
              <w:jc w:val="center"/>
              <w:rPr>
                <w:rFonts w:cs="宋体"/>
                <w:color w:val="000000"/>
                <w:kern w:val="0"/>
              </w:rPr>
            </w:pPr>
            <w:r>
              <w:rPr>
                <w:rFonts w:hint="eastAsia" w:cs="宋体"/>
                <w:color w:val="000000"/>
                <w:kern w:val="0"/>
              </w:rPr>
              <w:t>项目清单及</w:t>
            </w:r>
          </w:p>
          <w:p>
            <w:pPr>
              <w:spacing w:line="420" w:lineRule="exact"/>
              <w:jc w:val="center"/>
              <w:rPr>
                <w:color w:val="000000"/>
              </w:rPr>
            </w:pPr>
            <w:r>
              <w:rPr>
                <w:rFonts w:hint="eastAsia" w:cs="宋体"/>
                <w:color w:val="000000"/>
                <w:kern w:val="0"/>
              </w:rPr>
              <w:t>技术参数</w:t>
            </w:r>
          </w:p>
        </w:tc>
        <w:tc>
          <w:tcPr>
            <w:tcW w:w="0" w:type="auto"/>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0" w:type="auto"/>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0" w:type="auto"/>
            <w:vAlign w:val="center"/>
          </w:tcPr>
          <w:p>
            <w:pPr>
              <w:autoSpaceDE w:val="0"/>
              <w:autoSpaceDN w:val="0"/>
              <w:jc w:val="center"/>
              <w:rPr>
                <w:rFonts w:ascii="宋体" w:hAnsi="宋体"/>
                <w:b/>
                <w:sz w:val="18"/>
                <w:szCs w:val="18"/>
              </w:rPr>
            </w:pPr>
            <w:r>
              <w:rPr>
                <w:rFonts w:hint="eastAsia" w:ascii="宋体" w:hAnsi="宋体"/>
                <w:b/>
                <w:sz w:val="18"/>
                <w:szCs w:val="18"/>
              </w:rPr>
              <w:t>预算总价（元）</w:t>
            </w:r>
          </w:p>
        </w:tc>
        <w:tc>
          <w:tcPr>
            <w:tcW w:w="0" w:type="auto"/>
            <w:vAlign w:val="center"/>
          </w:tcPr>
          <w:p>
            <w:pPr>
              <w:autoSpaceDE w:val="0"/>
              <w:autoSpaceDN w:val="0"/>
              <w:jc w:val="center"/>
              <w:rPr>
                <w:rFonts w:ascii="宋体" w:hAnsi="宋体"/>
                <w:b/>
                <w:sz w:val="18"/>
                <w:szCs w:val="18"/>
              </w:rPr>
            </w:pPr>
            <w:r>
              <w:rPr>
                <w:rFonts w:hint="eastAsia" w:ascii="宋体" w:hAnsi="宋体"/>
                <w:b/>
                <w:sz w:val="18"/>
                <w:szCs w:val="18"/>
              </w:rPr>
              <w:t>预估年度</w:t>
            </w:r>
          </w:p>
          <w:p>
            <w:pPr>
              <w:autoSpaceDE w:val="0"/>
              <w:autoSpaceDN w:val="0"/>
              <w:jc w:val="center"/>
              <w:rPr>
                <w:rFonts w:ascii="宋体" w:hAnsi="宋体"/>
                <w:b/>
                <w:sz w:val="18"/>
                <w:szCs w:val="18"/>
              </w:rPr>
            </w:pPr>
            <w:r>
              <w:rPr>
                <w:rFonts w:hint="eastAsia" w:ascii="宋体" w:hAnsi="宋体"/>
                <w:b/>
                <w:sz w:val="18"/>
                <w:szCs w:val="18"/>
              </w:rPr>
              <w:t>用量</w:t>
            </w:r>
          </w:p>
        </w:tc>
        <w:tc>
          <w:tcPr>
            <w:tcW w:w="0" w:type="auto"/>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0" w:type="auto"/>
            <w:vMerge w:val="continue"/>
            <w:vAlign w:val="center"/>
          </w:tcPr>
          <w:p>
            <w:pPr>
              <w:spacing w:line="420" w:lineRule="exact"/>
              <w:jc w:val="center"/>
              <w:rPr>
                <w:rFonts w:cs="宋体"/>
                <w:color w:val="000000"/>
                <w:kern w:val="0"/>
              </w:rPr>
            </w:pPr>
          </w:p>
        </w:tc>
        <w:tc>
          <w:tcPr>
            <w:tcW w:w="0" w:type="auto"/>
            <w:vAlign w:val="center"/>
          </w:tcPr>
          <w:p>
            <w:pPr>
              <w:autoSpaceDE w:val="0"/>
              <w:autoSpaceDN w:val="0"/>
              <w:jc w:val="center"/>
              <w:rPr>
                <w:rFonts w:ascii="宋体" w:hAnsi="宋体"/>
              </w:rPr>
            </w:pPr>
            <w:r>
              <w:rPr>
                <w:rFonts w:hint="eastAsia" w:ascii="宋体" w:hAnsi="宋体"/>
              </w:rPr>
              <w:t>1</w:t>
            </w:r>
          </w:p>
        </w:tc>
        <w:tc>
          <w:tcPr>
            <w:tcW w:w="0" w:type="auto"/>
            <w:vAlign w:val="center"/>
          </w:tcPr>
          <w:p>
            <w:pPr>
              <w:widowControl/>
              <w:jc w:val="center"/>
              <w:textAlignment w:val="center"/>
              <w:rPr>
                <w:rFonts w:ascii="宋体" w:hAnsi="宋体" w:cs="宋体"/>
                <w:color w:val="000000"/>
              </w:rPr>
            </w:pPr>
            <w:r>
              <w:rPr>
                <w:rFonts w:ascii="宋体" w:hAnsi="宋体" w:cs="宋体"/>
                <w:color w:val="000000"/>
              </w:rPr>
              <w:t>吉姆萨染液</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20800</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6500ml</w:t>
            </w:r>
          </w:p>
        </w:tc>
        <w:tc>
          <w:tcPr>
            <w:tcW w:w="0" w:type="auto"/>
          </w:tcPr>
          <w:p>
            <w:pPr>
              <w:widowControl/>
              <w:numPr>
                <w:ilvl w:val="0"/>
                <w:numId w:val="2"/>
              </w:numPr>
              <w:jc w:val="left"/>
              <w:rPr>
                <w:rFonts w:asciiTheme="minorEastAsia" w:hAnsiTheme="minorEastAsia" w:eastAsiaTheme="minorEastAsia" w:cstheme="minorEastAsia"/>
              </w:rPr>
            </w:pPr>
            <w:r>
              <w:rPr>
                <w:rFonts w:hint="eastAsia" w:ascii="宋体" w:hAnsi="宋体" w:cs="宋体"/>
                <w:color w:val="000000"/>
              </w:rPr>
              <w:t>用于</w:t>
            </w:r>
            <w:r>
              <w:rPr>
                <w:rFonts w:hint="eastAsia" w:asciiTheme="minorEastAsia" w:hAnsiTheme="minorEastAsia" w:eastAsiaTheme="minorEastAsia" w:cstheme="minorEastAsia"/>
                <w:kern w:val="0"/>
              </w:rPr>
              <w:t>羊水细胞及外周血淋巴细胞</w:t>
            </w:r>
            <w:r>
              <w:rPr>
                <w:rFonts w:hint="eastAsia" w:asciiTheme="minorEastAsia" w:hAnsiTheme="minorEastAsia" w:eastAsiaTheme="minorEastAsia" w:cstheme="minorEastAsia"/>
                <w:color w:val="000000"/>
                <w:kern w:val="0"/>
                <w:lang w:bidi="ar"/>
              </w:rPr>
              <w:t>染色体制备所得的细胞标本片的染色；</w:t>
            </w:r>
          </w:p>
          <w:p>
            <w:pPr>
              <w:widowControl/>
              <w:numPr>
                <w:ilvl w:val="0"/>
                <w:numId w:val="0"/>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 </w:t>
            </w:r>
            <w:r>
              <w:rPr>
                <w:rFonts w:hint="eastAsia" w:asciiTheme="minorEastAsia" w:hAnsiTheme="minorEastAsia" w:eastAsiaTheme="minorEastAsia" w:cstheme="minorEastAsia"/>
                <w:color w:val="000000"/>
                <w:kern w:val="0"/>
                <w:lang w:bidi="ar"/>
              </w:rPr>
              <w:t>染色液在 200～800nm 范围内出现两个波峰，520nm 的 OD 值不低于 0.130， 650nm 与 520nm 的 OD 比值在 1.300～1.800 之间；</w:t>
            </w:r>
          </w:p>
          <w:p>
            <w:pPr>
              <w:widowControl/>
              <w:numPr>
                <w:ilvl w:val="0"/>
                <w:numId w:val="0"/>
              </w:numPr>
              <w:jc w:val="left"/>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3. </w:t>
            </w:r>
            <w:r>
              <w:rPr>
                <w:rFonts w:hint="eastAsia" w:asciiTheme="minorEastAsia" w:hAnsiTheme="minorEastAsia" w:eastAsiaTheme="minorEastAsia" w:cstheme="minorEastAsia"/>
                <w:color w:val="000000"/>
                <w:kern w:val="0"/>
                <w:lang w:bidi="ar"/>
              </w:rPr>
              <w:t>按常规外周血淋巴细胞染色体制备所得的细胞标本片，染色后细胞核及染色体均呈紫红色。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0" w:type="auto"/>
            <w:vMerge w:val="continue"/>
            <w:vAlign w:val="center"/>
          </w:tcPr>
          <w:p>
            <w:pPr>
              <w:spacing w:line="420" w:lineRule="exact"/>
              <w:jc w:val="center"/>
              <w:rPr>
                <w:rFonts w:cs="宋体"/>
                <w:color w:val="000000"/>
                <w:kern w:val="0"/>
              </w:rPr>
            </w:pPr>
          </w:p>
        </w:tc>
        <w:tc>
          <w:tcPr>
            <w:tcW w:w="0" w:type="auto"/>
            <w:vAlign w:val="center"/>
          </w:tcPr>
          <w:p>
            <w:pPr>
              <w:autoSpaceDE w:val="0"/>
              <w:autoSpaceDN w:val="0"/>
              <w:jc w:val="center"/>
              <w:rPr>
                <w:rFonts w:ascii="宋体" w:hAnsi="宋体"/>
              </w:rPr>
            </w:pPr>
            <w:r>
              <w:rPr>
                <w:rFonts w:hint="eastAsia" w:ascii="宋体" w:hAnsi="宋体"/>
              </w:rPr>
              <w:t>2</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胰蛋白酶干粉（1：250）</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10000</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200g</w:t>
            </w:r>
          </w:p>
        </w:tc>
        <w:tc>
          <w:tcPr>
            <w:tcW w:w="0" w:type="auto"/>
          </w:tcPr>
          <w:p>
            <w:pPr>
              <w:widowControl/>
              <w:numPr>
                <w:ilvl w:val="0"/>
                <w:numId w:val="3"/>
              </w:numPr>
              <w:jc w:val="left"/>
              <w:textAlignment w:val="center"/>
            </w:pPr>
            <w:r>
              <w:rPr>
                <w:rFonts w:hint="eastAsia"/>
              </w:rPr>
              <w:t>用于消化法制备羊水细胞染色体，其作用是</w:t>
            </w:r>
            <w:r>
              <w:rPr>
                <w:rFonts w:hint="eastAsia" w:asciiTheme="minorEastAsia" w:hAnsiTheme="minorEastAsia" w:eastAsiaTheme="minorEastAsia" w:cstheme="minorEastAsia"/>
                <w:color w:val="000000"/>
                <w:kern w:val="0"/>
                <w:lang w:bidi="ar"/>
              </w:rPr>
              <w:t>解离</w:t>
            </w:r>
            <w:r>
              <w:rPr>
                <w:rFonts w:hint="eastAsia"/>
              </w:rPr>
              <w:t>贴壁生长的羊水细胞；</w:t>
            </w:r>
          </w:p>
          <w:p>
            <w:pPr>
              <w:widowControl/>
              <w:numPr>
                <w:ilvl w:val="0"/>
                <w:numId w:val="3"/>
              </w:numPr>
              <w:jc w:val="left"/>
              <w:rPr>
                <w:rFonts w:asciiTheme="minorEastAsia" w:hAnsiTheme="minorEastAsia" w:eastAsiaTheme="minorEastAsia" w:cstheme="minorEastAsia"/>
              </w:rPr>
            </w:pPr>
            <w:r>
              <w:rPr>
                <w:rFonts w:hint="eastAsia" w:asciiTheme="minorEastAsia" w:hAnsiTheme="minorEastAsia" w:eastAsiaTheme="minorEastAsia" w:cstheme="minorEastAsia"/>
                <w:kern w:val="0"/>
              </w:rPr>
              <w:t>约100g/瓶；</w:t>
            </w:r>
          </w:p>
          <w:p>
            <w:pPr>
              <w:widowControl/>
              <w:numPr>
                <w:ilvl w:val="0"/>
                <w:numId w:val="3"/>
              </w:numPr>
              <w:jc w:val="left"/>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lang w:bidi="ar"/>
              </w:rPr>
              <w:t>不含EDTA，无酚红；</w:t>
            </w:r>
          </w:p>
          <w:p>
            <w:pPr>
              <w:widowControl/>
              <w:numPr>
                <w:ilvl w:val="0"/>
                <w:numId w:val="3"/>
              </w:numPr>
              <w:jc w:val="left"/>
              <w:rPr>
                <w:rFonts w:asciiTheme="minorEastAsia" w:hAnsiTheme="minorEastAsia" w:eastAsiaTheme="minorEastAsia" w:cstheme="minorEastAsia"/>
                <w:color w:val="000000"/>
                <w:kern w:val="0"/>
                <w:lang w:bidi="ar"/>
              </w:rPr>
            </w:pPr>
            <w:r>
              <w:rPr>
                <w:rFonts w:hint="eastAsia" w:asciiTheme="minorEastAsia" w:hAnsiTheme="minorEastAsia" w:eastAsiaTheme="minorEastAsia" w:cstheme="minorEastAsia"/>
                <w:color w:val="000000"/>
                <w:kern w:val="0"/>
                <w:lang w:bidi="ar"/>
              </w:rPr>
              <w:t>性状：粉末固体；</w:t>
            </w:r>
          </w:p>
          <w:p>
            <w:pPr>
              <w:widowControl/>
              <w:numPr>
                <w:ilvl w:val="0"/>
                <w:numId w:val="3"/>
              </w:numPr>
              <w:jc w:val="left"/>
            </w:pPr>
            <w:r>
              <w:rPr>
                <w:rFonts w:hint="eastAsia" w:asciiTheme="minorEastAsia" w:hAnsiTheme="minorEastAsia" w:eastAsiaTheme="minorEastAsia" w:cstheme="minorEastAsia"/>
                <w:color w:val="000000"/>
                <w:kern w:val="0"/>
                <w:lang w:bidi="ar"/>
              </w:rPr>
              <w:t>来源：猪胰腺。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0" w:type="auto"/>
            <w:vMerge w:val="continue"/>
            <w:vAlign w:val="center"/>
          </w:tcPr>
          <w:p>
            <w:pPr>
              <w:spacing w:line="420" w:lineRule="exact"/>
              <w:jc w:val="center"/>
              <w:rPr>
                <w:rFonts w:cs="宋体"/>
                <w:color w:val="000000"/>
                <w:kern w:val="0"/>
              </w:rPr>
            </w:pPr>
          </w:p>
        </w:tc>
        <w:tc>
          <w:tcPr>
            <w:tcW w:w="0" w:type="auto"/>
            <w:vAlign w:val="center"/>
          </w:tcPr>
          <w:p>
            <w:pPr>
              <w:autoSpaceDE w:val="0"/>
              <w:autoSpaceDN w:val="0"/>
              <w:jc w:val="center"/>
              <w:rPr>
                <w:rFonts w:ascii="宋体" w:hAnsi="宋体"/>
              </w:rPr>
            </w:pPr>
            <w:r>
              <w:rPr>
                <w:rFonts w:hint="eastAsia" w:ascii="宋体" w:hAnsi="宋体"/>
              </w:rPr>
              <w:t>3</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免洗载玻片</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14000</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28000张</w:t>
            </w:r>
          </w:p>
        </w:tc>
        <w:tc>
          <w:tcPr>
            <w:tcW w:w="0" w:type="auto"/>
          </w:tcPr>
          <w:p>
            <w:pPr>
              <w:widowControl/>
              <w:numPr>
                <w:ilvl w:val="0"/>
                <w:numId w:val="0"/>
              </w:numPr>
              <w:jc w:val="left"/>
              <w:textAlignment w:val="cente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 </w:t>
            </w:r>
            <w:r>
              <w:rPr>
                <w:rFonts w:hint="eastAsia"/>
              </w:rPr>
              <w:t>用于染色体制片，无须清洗；</w:t>
            </w:r>
          </w:p>
          <w:p>
            <w:pPr>
              <w:widowControl/>
              <w:numPr>
                <w:ilvl w:val="0"/>
                <w:numId w:val="2"/>
              </w:numPr>
              <w:ind w:left="0" w:leftChars="0" w:firstLine="0" w:firstLineChars="0"/>
              <w:jc w:val="left"/>
              <w:textAlignment w:val="center"/>
            </w:pPr>
            <w:r>
              <w:rPr>
                <w:rFonts w:hint="eastAsia" w:asciiTheme="minorEastAsia" w:hAnsiTheme="minorEastAsia" w:eastAsiaTheme="minorEastAsia" w:cstheme="minorEastAsia"/>
                <w:kern w:val="0"/>
              </w:rPr>
              <w:t>约50片/盒，染色体核型分析用；</w:t>
            </w:r>
          </w:p>
          <w:p>
            <w:pPr>
              <w:widowControl/>
              <w:numPr>
                <w:ilvl w:val="0"/>
                <w:numId w:val="0"/>
              </w:numPr>
              <w:jc w:val="left"/>
              <w:textAlignment w:val="cente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3. </w:t>
            </w:r>
            <w:r>
              <w:rPr>
                <w:rFonts w:hint="eastAsia" w:asciiTheme="minorEastAsia" w:hAnsiTheme="minorEastAsia" w:eastAsiaTheme="minorEastAsia" w:cstheme="minorEastAsia"/>
                <w:color w:val="000000"/>
                <w:kern w:val="0"/>
              </w:rPr>
              <w:t>规格：75*25MM,厚度：1MM；</w:t>
            </w:r>
          </w:p>
          <w:p>
            <w:pPr>
              <w:widowControl/>
              <w:numPr>
                <w:ilvl w:val="0"/>
                <w:numId w:val="0"/>
              </w:numPr>
              <w:jc w:val="left"/>
              <w:textAlignment w:val="cente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 </w:t>
            </w:r>
            <w:r>
              <w:rPr>
                <w:rFonts w:hint="eastAsia" w:asciiTheme="minorEastAsia" w:hAnsiTheme="minorEastAsia" w:eastAsiaTheme="minorEastAsia" w:cstheme="minorEastAsia"/>
                <w:color w:val="000000"/>
                <w:kern w:val="0"/>
              </w:rPr>
              <w:t>表面洁净，亲水性好。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0" w:type="auto"/>
            <w:vMerge w:val="continue"/>
            <w:vAlign w:val="center"/>
          </w:tcPr>
          <w:p>
            <w:pPr>
              <w:spacing w:line="420" w:lineRule="exact"/>
              <w:jc w:val="center"/>
              <w:rPr>
                <w:rFonts w:cs="宋体"/>
                <w:color w:val="000000"/>
                <w:kern w:val="0"/>
              </w:rPr>
            </w:pPr>
          </w:p>
        </w:tc>
        <w:tc>
          <w:tcPr>
            <w:tcW w:w="0" w:type="auto"/>
            <w:vAlign w:val="center"/>
          </w:tcPr>
          <w:p>
            <w:pPr>
              <w:autoSpaceDE w:val="0"/>
              <w:autoSpaceDN w:val="0"/>
              <w:jc w:val="center"/>
              <w:rPr>
                <w:rFonts w:ascii="宋体" w:hAnsi="宋体"/>
              </w:rPr>
            </w:pPr>
            <w:r>
              <w:rPr>
                <w:rFonts w:hint="eastAsia" w:ascii="宋体" w:hAnsi="宋体"/>
              </w:rPr>
              <w:t>4</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羊水细胞同步化试剂</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45000</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4800人份</w:t>
            </w:r>
          </w:p>
        </w:tc>
        <w:tc>
          <w:tcPr>
            <w:tcW w:w="0" w:type="auto"/>
          </w:tcPr>
          <w:p>
            <w:pPr>
              <w:widowControl/>
              <w:numPr>
                <w:ilvl w:val="0"/>
                <w:numId w:val="0"/>
              </w:numPr>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 </w:t>
            </w:r>
            <w:r>
              <w:rPr>
                <w:rFonts w:hint="eastAsia"/>
              </w:rPr>
              <w:t>用于</w:t>
            </w:r>
            <w:r>
              <w:rPr>
                <w:rFonts w:hint="eastAsia" w:asciiTheme="minorEastAsia" w:hAnsiTheme="minorEastAsia" w:eastAsiaTheme="minorEastAsia" w:cstheme="minorEastAsia"/>
                <w:color w:val="000000"/>
                <w:kern w:val="0"/>
              </w:rPr>
              <w:t>同步化羊水细胞周期</w:t>
            </w:r>
            <w:r>
              <w:rPr>
                <w:rFonts w:hint="eastAsia"/>
              </w:rPr>
              <w:t>，使</w:t>
            </w:r>
            <w:r>
              <w:rPr>
                <w:rFonts w:hint="eastAsia" w:asciiTheme="minorEastAsia" w:hAnsiTheme="minorEastAsia" w:eastAsiaTheme="minorEastAsia" w:cstheme="minorEastAsia"/>
                <w:color w:val="000000"/>
                <w:kern w:val="0"/>
              </w:rPr>
              <w:t>中期染色体数量增加；</w:t>
            </w:r>
          </w:p>
          <w:p>
            <w:pPr>
              <w:widowControl/>
              <w:numPr>
                <w:ilvl w:val="0"/>
                <w:numId w:val="0"/>
              </w:numPr>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 </w:t>
            </w:r>
            <w:r>
              <w:rPr>
                <w:rFonts w:hint="eastAsia" w:asciiTheme="minorEastAsia" w:hAnsiTheme="minorEastAsia" w:eastAsiaTheme="minorEastAsia" w:cstheme="minorEastAsia"/>
              </w:rPr>
              <w:t>可实现高分辨羊水细胞染色体核型分析；</w:t>
            </w:r>
          </w:p>
          <w:p>
            <w:pPr>
              <w:widowControl/>
              <w:numPr>
                <w:ilvl w:val="0"/>
                <w:numId w:val="2"/>
              </w:numPr>
              <w:ind w:left="0" w:leftChars="0" w:firstLine="0" w:firstLineChars="0"/>
              <w:jc w:val="left"/>
              <w:textAlignment w:val="center"/>
            </w:pPr>
            <w:r>
              <w:rPr>
                <w:rFonts w:hint="eastAsia" w:asciiTheme="minorEastAsia" w:hAnsiTheme="minorEastAsia" w:eastAsiaTheme="minorEastAsia" w:cstheme="minorEastAsia"/>
              </w:rPr>
              <w:t>不影响mRNA合成和细胞活性；</w:t>
            </w:r>
          </w:p>
          <w:p>
            <w:pPr>
              <w:widowControl/>
              <w:numPr>
                <w:ilvl w:val="0"/>
                <w:numId w:val="0"/>
              </w:numPr>
              <w:ind w:leftChars="0"/>
              <w:jc w:val="left"/>
              <w:textAlignment w:val="cente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 </w:t>
            </w:r>
            <w:r>
              <w:rPr>
                <w:rFonts w:hint="eastAsia" w:asciiTheme="minorEastAsia" w:hAnsiTheme="minorEastAsia" w:eastAsiaTheme="minorEastAsia" w:cstheme="minorEastAsia"/>
              </w:rPr>
              <w:t>可以优化染色体分散质量。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0" w:type="auto"/>
            <w:vMerge w:val="continue"/>
            <w:vAlign w:val="center"/>
          </w:tcPr>
          <w:p>
            <w:pPr>
              <w:spacing w:line="420" w:lineRule="exact"/>
              <w:jc w:val="center"/>
              <w:rPr>
                <w:rFonts w:cs="宋体"/>
                <w:color w:val="000000"/>
                <w:kern w:val="0"/>
              </w:rPr>
            </w:pPr>
          </w:p>
        </w:tc>
        <w:tc>
          <w:tcPr>
            <w:tcW w:w="0" w:type="auto"/>
            <w:vAlign w:val="center"/>
          </w:tcPr>
          <w:p>
            <w:pPr>
              <w:autoSpaceDE w:val="0"/>
              <w:autoSpaceDN w:val="0"/>
              <w:jc w:val="center"/>
              <w:rPr>
                <w:rFonts w:ascii="宋体" w:hAnsi="宋体"/>
              </w:rPr>
            </w:pPr>
            <w:r>
              <w:rPr>
                <w:rFonts w:hint="eastAsia" w:ascii="宋体" w:hAnsi="宋体"/>
              </w:rPr>
              <w:t>5</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淋巴细胞同步化试剂</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1500</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160人份</w:t>
            </w:r>
          </w:p>
        </w:tc>
        <w:tc>
          <w:tcPr>
            <w:tcW w:w="0" w:type="auto"/>
          </w:tcPr>
          <w:p>
            <w:pPr>
              <w:widowControl/>
              <w:numPr>
                <w:ilvl w:val="0"/>
                <w:numId w:val="0"/>
              </w:numPr>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 </w:t>
            </w:r>
            <w:r>
              <w:rPr>
                <w:rFonts w:hint="eastAsia"/>
              </w:rPr>
              <w:t>用于</w:t>
            </w:r>
            <w:r>
              <w:rPr>
                <w:rFonts w:hint="eastAsia" w:asciiTheme="minorEastAsia" w:hAnsiTheme="minorEastAsia" w:eastAsiaTheme="minorEastAsia" w:cstheme="minorEastAsia"/>
                <w:color w:val="000000"/>
                <w:kern w:val="0"/>
              </w:rPr>
              <w:t>同步化淋巴细胞周期</w:t>
            </w:r>
            <w:r>
              <w:rPr>
                <w:rFonts w:hint="eastAsia" w:asciiTheme="minorEastAsia" w:hAnsiTheme="minorEastAsia" w:eastAsiaTheme="minorEastAsia" w:cstheme="minorEastAsia"/>
                <w:color w:val="000000"/>
              </w:rPr>
              <w:t>，</w:t>
            </w:r>
            <w:r>
              <w:rPr>
                <w:rFonts w:hint="eastAsia"/>
              </w:rPr>
              <w:t>使</w:t>
            </w:r>
            <w:r>
              <w:rPr>
                <w:rFonts w:hint="eastAsia" w:asciiTheme="minorEastAsia" w:hAnsiTheme="minorEastAsia" w:eastAsiaTheme="minorEastAsia" w:cstheme="minorEastAsia"/>
                <w:color w:val="000000"/>
                <w:kern w:val="0"/>
              </w:rPr>
              <w:t>中期染色体数量增加；</w:t>
            </w:r>
          </w:p>
          <w:p>
            <w:pPr>
              <w:widowControl/>
              <w:numPr>
                <w:ilvl w:val="0"/>
                <w:numId w:val="0"/>
              </w:numPr>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 </w:t>
            </w:r>
            <w:r>
              <w:rPr>
                <w:rFonts w:hint="eastAsia" w:asciiTheme="minorEastAsia" w:hAnsiTheme="minorEastAsia" w:eastAsiaTheme="minorEastAsia" w:cstheme="minorEastAsia"/>
              </w:rPr>
              <w:t>可实现高分辨淋巴细胞染色体核型分析；</w:t>
            </w:r>
          </w:p>
          <w:p>
            <w:pPr>
              <w:widowControl/>
              <w:numPr>
                <w:ilvl w:val="0"/>
                <w:numId w:val="0"/>
              </w:numPr>
              <w:ind w:leftChars="0"/>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不影响mRNA合成和细胞活性；</w:t>
            </w:r>
          </w:p>
          <w:p>
            <w:pPr>
              <w:pStyle w:val="2"/>
              <w:numPr>
                <w:ilvl w:val="0"/>
                <w:numId w:val="0"/>
              </w:num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rPr>
              <w:t>可以优化染色体分散质量。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0" w:type="auto"/>
            <w:vMerge w:val="continue"/>
            <w:vAlign w:val="center"/>
          </w:tcPr>
          <w:p>
            <w:pPr>
              <w:spacing w:line="420" w:lineRule="exact"/>
              <w:jc w:val="center"/>
              <w:rPr>
                <w:rFonts w:cs="宋体"/>
                <w:color w:val="000000"/>
                <w:kern w:val="0"/>
              </w:rPr>
            </w:pPr>
          </w:p>
        </w:tc>
        <w:tc>
          <w:tcPr>
            <w:tcW w:w="0" w:type="auto"/>
            <w:vAlign w:val="center"/>
          </w:tcPr>
          <w:p>
            <w:pPr>
              <w:autoSpaceDE w:val="0"/>
              <w:autoSpaceDN w:val="0"/>
              <w:jc w:val="center"/>
              <w:rPr>
                <w:rFonts w:ascii="宋体" w:hAnsi="宋体"/>
              </w:rPr>
            </w:pPr>
            <w:r>
              <w:rPr>
                <w:rFonts w:hint="eastAsia" w:ascii="宋体" w:hAnsi="宋体"/>
              </w:rPr>
              <w:t>6</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胰酶缓冲液</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1800</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6L</w:t>
            </w:r>
          </w:p>
        </w:tc>
        <w:tc>
          <w:tcPr>
            <w:tcW w:w="0" w:type="auto"/>
          </w:tcPr>
          <w:p>
            <w:pPr>
              <w:widowControl/>
              <w:numPr>
                <w:ilvl w:val="0"/>
                <w:numId w:val="4"/>
              </w:numPr>
              <w:jc w:val="left"/>
              <w:textAlignment w:val="center"/>
            </w:pPr>
            <w:r>
              <w:rPr>
                <w:rFonts w:hint="eastAsia"/>
              </w:rPr>
              <w:t>用于</w:t>
            </w:r>
            <w:r>
              <w:rPr>
                <w:rFonts w:hint="eastAsia" w:asciiTheme="minorEastAsia" w:hAnsiTheme="minorEastAsia" w:eastAsiaTheme="minorEastAsia" w:cstheme="minorEastAsia"/>
                <w:kern w:val="0"/>
              </w:rPr>
              <w:t>羊水细胞及外周血淋巴细胞染色体制备；</w:t>
            </w:r>
          </w:p>
          <w:p>
            <w:pPr>
              <w:widowControl/>
              <w:numPr>
                <w:ilvl w:val="0"/>
                <w:numId w:val="4"/>
              </w:numPr>
              <w:jc w:val="left"/>
              <w:textAlignment w:val="center"/>
            </w:pPr>
            <w:r>
              <w:rPr>
                <w:rFonts w:hint="eastAsia" w:asciiTheme="minorEastAsia" w:hAnsiTheme="minorEastAsia" w:eastAsiaTheme="minorEastAsia" w:cstheme="minorEastAsia"/>
                <w:color w:val="000000"/>
                <w:kern w:val="0"/>
              </w:rPr>
              <w:t>PBS缓冲液；</w:t>
            </w:r>
          </w:p>
          <w:p>
            <w:pPr>
              <w:widowControl/>
              <w:numPr>
                <w:ilvl w:val="0"/>
                <w:numId w:val="4"/>
              </w:numPr>
              <w:jc w:val="left"/>
              <w:textAlignment w:val="center"/>
            </w:pPr>
            <w:r>
              <w:rPr>
                <w:rFonts w:hint="eastAsia" w:asciiTheme="minorEastAsia" w:hAnsiTheme="minorEastAsia" w:eastAsiaTheme="minorEastAsia" w:cstheme="minorEastAsia"/>
                <w:color w:val="000000"/>
                <w:kern w:val="0"/>
              </w:rPr>
              <w:t>pH值：7.2~7.4</w:t>
            </w:r>
            <w:r>
              <w:rPr>
                <w:rFonts w:hint="eastAsia" w:asciiTheme="minorEastAsia" w:hAnsiTheme="minorEastAsia" w:eastAsiaTheme="minorEastAsia" w:cstheme="minor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0" w:type="auto"/>
            <w:vMerge w:val="continue"/>
            <w:vAlign w:val="center"/>
          </w:tcPr>
          <w:p>
            <w:pPr>
              <w:spacing w:line="420" w:lineRule="exact"/>
              <w:jc w:val="center"/>
              <w:rPr>
                <w:rFonts w:cs="宋体"/>
                <w:color w:val="000000"/>
                <w:kern w:val="0"/>
              </w:rPr>
            </w:pPr>
          </w:p>
        </w:tc>
        <w:tc>
          <w:tcPr>
            <w:tcW w:w="0" w:type="auto"/>
            <w:vAlign w:val="center"/>
          </w:tcPr>
          <w:p>
            <w:pPr>
              <w:autoSpaceDE w:val="0"/>
              <w:autoSpaceDN w:val="0"/>
              <w:jc w:val="center"/>
              <w:rPr>
                <w:rFonts w:ascii="宋体" w:hAnsi="宋体"/>
              </w:rPr>
            </w:pPr>
            <w:r>
              <w:rPr>
                <w:rFonts w:hint="eastAsia" w:ascii="宋体" w:hAnsi="宋体"/>
              </w:rPr>
              <w:t>7</w:t>
            </w:r>
          </w:p>
        </w:tc>
        <w:tc>
          <w:tcPr>
            <w:tcW w:w="0" w:type="auto"/>
            <w:vAlign w:val="center"/>
          </w:tcPr>
          <w:p>
            <w:pPr>
              <w:widowControl/>
              <w:jc w:val="center"/>
              <w:textAlignment w:val="center"/>
              <w:rPr>
                <w:rFonts w:ascii="宋体" w:hAnsi="宋体" w:cs="宋体"/>
                <w:color w:val="000000"/>
              </w:rPr>
            </w:pPr>
            <w:r>
              <w:rPr>
                <w:rFonts w:ascii="宋体" w:hAnsi="宋体" w:cs="宋体"/>
                <w:color w:val="000000"/>
              </w:rPr>
              <w:t>胰酶0.5%</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3000</w:t>
            </w:r>
          </w:p>
        </w:tc>
        <w:tc>
          <w:tcPr>
            <w:tcW w:w="0" w:type="auto"/>
            <w:vAlign w:val="center"/>
          </w:tcPr>
          <w:p>
            <w:pPr>
              <w:widowControl/>
              <w:jc w:val="center"/>
              <w:textAlignment w:val="center"/>
              <w:rPr>
                <w:rFonts w:ascii="宋体" w:hAnsi="宋体" w:cs="宋体"/>
                <w:color w:val="000000"/>
              </w:rPr>
            </w:pPr>
            <w:r>
              <w:rPr>
                <w:rFonts w:hint="eastAsia" w:ascii="宋体" w:hAnsi="宋体" w:cs="宋体"/>
                <w:color w:val="000000"/>
              </w:rPr>
              <w:t>1500ml</w:t>
            </w:r>
          </w:p>
        </w:tc>
        <w:tc>
          <w:tcPr>
            <w:tcW w:w="0" w:type="auto"/>
          </w:tcPr>
          <w:p>
            <w:pPr>
              <w:widowControl/>
              <w:numPr>
                <w:ilvl w:val="0"/>
                <w:numId w:val="5"/>
              </w:numPr>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用于羊水细胞及外周血淋巴细胞染色体</w:t>
            </w:r>
            <w:r>
              <w:rPr>
                <w:rFonts w:hint="eastAsia" w:asciiTheme="minorEastAsia" w:hAnsiTheme="minorEastAsia" w:eastAsiaTheme="minorEastAsia" w:cstheme="minorEastAsia"/>
                <w:color w:val="000000"/>
                <w:kern w:val="0"/>
              </w:rPr>
              <w:t>G显带</w:t>
            </w:r>
            <w:r>
              <w:rPr>
                <w:rFonts w:hint="eastAsia" w:asciiTheme="minorEastAsia" w:hAnsiTheme="minorEastAsia" w:eastAsiaTheme="minorEastAsia" w:cstheme="minorEastAsia"/>
                <w:kern w:val="0"/>
              </w:rPr>
              <w:t>使用；</w:t>
            </w:r>
          </w:p>
          <w:p>
            <w:pPr>
              <w:widowControl/>
              <w:numPr>
                <w:ilvl w:val="0"/>
                <w:numId w:val="5"/>
              </w:numPr>
              <w:jc w:val="left"/>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pH值：7.0~7.4；</w:t>
            </w:r>
          </w:p>
          <w:p>
            <w:pPr>
              <w:widowControl/>
              <w:numPr>
                <w:ilvl w:val="0"/>
                <w:numId w:val="5"/>
              </w:numPr>
              <w:jc w:val="left"/>
            </w:pPr>
            <w:r>
              <w:rPr>
                <w:rFonts w:hint="eastAsia" w:asciiTheme="minorEastAsia" w:hAnsiTheme="minorEastAsia" w:eastAsiaTheme="minorEastAsia" w:cstheme="minorEastAsia"/>
                <w:color w:val="000000"/>
                <w:kern w:val="0"/>
              </w:rPr>
              <w:t>浓度：0.5%。</w:t>
            </w:r>
          </w:p>
        </w:tc>
      </w:tr>
    </w:tbl>
    <w:p>
      <w:pPr>
        <w:pStyle w:val="4"/>
        <w:rPr>
          <w:rFonts w:hint="eastAsia"/>
        </w:rPr>
      </w:pPr>
    </w:p>
    <w:bookmarkEnd w:id="0"/>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pStyle w:val="2"/>
        <w:rPr>
          <w:rFonts w:hint="eastAsia" w:ascii="Times New Roman" w:hAnsi="Times New Roman" w:eastAsia="宋体" w:cs="Times New Roman"/>
        </w:rPr>
      </w:pP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4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979"/>
        <w:gridCol w:w="472"/>
        <w:gridCol w:w="4820"/>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49"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31"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25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61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34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49"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31"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25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614"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1348" w:type="pct"/>
            <w:noWrap w:val="0"/>
            <w:vAlign w:val="center"/>
          </w:tcPr>
          <w:p>
            <w:pPr>
              <w:widowControl/>
              <w:numPr>
                <w:ilvl w:val="0"/>
                <w:numId w:val="6"/>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6"/>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49"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531"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54</w:t>
            </w:r>
            <w:r>
              <w:rPr>
                <w:rFonts w:hint="eastAsia" w:ascii="宋体" w:hAnsi="宋体" w:cs="Segoe UI"/>
                <w:color w:val="000000"/>
                <w:kern w:val="0"/>
                <w:sz w:val="18"/>
                <w:szCs w:val="18"/>
              </w:rPr>
              <w:t>%</w:t>
            </w:r>
          </w:p>
        </w:tc>
        <w:tc>
          <w:tcPr>
            <w:tcW w:w="25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bidi="ar-SA"/>
              </w:rPr>
              <w:t>54</w:t>
            </w:r>
          </w:p>
        </w:tc>
        <w:tc>
          <w:tcPr>
            <w:tcW w:w="2614"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lang w:val="en-US" w:eastAsia="zh-CN" w:bidi="ar-SA"/>
              </w:rPr>
              <w:t>投标人提供的试剂耗材的技术参数完全符合招标文件要求，没有负偏离得54分；技术参数不满足招标文件要求（负偏离），一条扣9分，扣完为止。</w:t>
            </w:r>
          </w:p>
        </w:tc>
        <w:tc>
          <w:tcPr>
            <w:tcW w:w="1348"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9" w:type="pct"/>
            <w:noWrap w:val="0"/>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p>
        </w:tc>
        <w:tc>
          <w:tcPr>
            <w:tcW w:w="531"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4</w:t>
            </w:r>
            <w:r>
              <w:rPr>
                <w:rFonts w:hint="eastAsia" w:ascii="宋体" w:hAnsi="宋体" w:cs="Segoe UI"/>
                <w:color w:val="000000"/>
                <w:kern w:val="0"/>
                <w:sz w:val="18"/>
                <w:szCs w:val="18"/>
              </w:rPr>
              <w:t>%</w:t>
            </w:r>
          </w:p>
        </w:tc>
        <w:tc>
          <w:tcPr>
            <w:tcW w:w="25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bidi="ar-SA"/>
              </w:rPr>
              <w:t>4</w:t>
            </w:r>
          </w:p>
        </w:tc>
        <w:tc>
          <w:tcPr>
            <w:tcW w:w="2614"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348"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49" w:type="pct"/>
            <w:noWrap w:val="0"/>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4</w:t>
            </w:r>
          </w:p>
        </w:tc>
        <w:tc>
          <w:tcPr>
            <w:tcW w:w="531"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w:t>
            </w:r>
          </w:p>
        </w:tc>
        <w:tc>
          <w:tcPr>
            <w:tcW w:w="256" w:type="pct"/>
            <w:noWrap w:val="0"/>
            <w:vAlign w:val="center"/>
          </w:tcPr>
          <w:p>
            <w:pPr>
              <w:widowControl/>
              <w:spacing w:line="320" w:lineRule="atLeast"/>
              <w:ind w:left="-105" w:leftChars="0" w:right="-107" w:rightChars="0"/>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bidi="ar-SA"/>
              </w:rPr>
              <w:t>12</w:t>
            </w:r>
          </w:p>
        </w:tc>
        <w:tc>
          <w:tcPr>
            <w:tcW w:w="2614"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12</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4</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分，分值扣完为止。</w:t>
            </w:r>
          </w:p>
        </w:tc>
        <w:tc>
          <w:tcPr>
            <w:tcW w:w="1348" w:type="pct"/>
            <w:noWrap w:val="0"/>
            <w:vAlign w:val="center"/>
          </w:tcPr>
          <w:p>
            <w:pPr>
              <w:wordWrap w:val="0"/>
              <w:jc w:val="left"/>
              <w:rPr>
                <w:rFonts w:ascii="宋体" w:hAnsi="宋体" w:cs="Segoe UI"/>
                <w:color w:val="000000"/>
                <w:kern w:val="0"/>
                <w:sz w:val="18"/>
                <w:szCs w:val="18"/>
                <w:lang w:val="en-US" w:eastAsia="zh-CN" w:bidi="ar-SA"/>
              </w:rPr>
            </w:pPr>
          </w:p>
        </w:tc>
      </w:tr>
    </w:tbl>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1" w:name="_Toc21163"/>
      <w:bookmarkStart w:id="2" w:name="_Toc15614"/>
      <w:bookmarkStart w:id="3" w:name="_Toc21676"/>
      <w:bookmarkStart w:id="4" w:name="_Toc3414"/>
      <w:bookmarkStart w:id="5" w:name="_Toc9234"/>
      <w:r>
        <w:rPr>
          <w:rFonts w:hint="eastAsia" w:ascii="仿宋" w:hAnsi="仿宋" w:eastAsia="仿宋" w:cs="仿宋"/>
          <w:w w:val="95"/>
        </w:rPr>
        <w:t>承诺函</w:t>
      </w:r>
      <w:bookmarkEnd w:id="1"/>
      <w:bookmarkEnd w:id="2"/>
      <w:bookmarkEnd w:id="3"/>
      <w:bookmarkEnd w:id="4"/>
      <w:bookmarkEnd w:id="5"/>
    </w:p>
    <w:p>
      <w:pPr>
        <w:spacing w:line="360" w:lineRule="auto"/>
        <w:outlineLvl w:val="1"/>
        <w:rPr>
          <w:rFonts w:hint="eastAsia" w:ascii="仿宋" w:hAnsi="仿宋" w:eastAsia="仿宋" w:cs="仿宋"/>
          <w:sz w:val="22"/>
        </w:rPr>
      </w:pPr>
      <w:bookmarkStart w:id="6" w:name="_Toc60"/>
      <w:bookmarkStart w:id="7" w:name="_Toc5499"/>
      <w:bookmarkStart w:id="8" w:name="_Toc10689"/>
      <w:bookmarkStart w:id="9" w:name="_Toc5208"/>
      <w:bookmarkStart w:id="10" w:name="_Toc14802"/>
      <w:bookmarkStart w:id="11" w:name="_Toc12490"/>
      <w:bookmarkStart w:id="12" w:name="_Toc30494"/>
      <w:bookmarkStart w:id="13" w:name="_Toc30275"/>
      <w:bookmarkStart w:id="14" w:name="_Toc11076"/>
      <w:r>
        <w:rPr>
          <w:rFonts w:hint="eastAsia" w:ascii="仿宋" w:hAnsi="仿宋" w:eastAsia="仿宋" w:cs="仿宋"/>
          <w:sz w:val="22"/>
        </w:rPr>
        <w:t>致：</w:t>
      </w:r>
      <w:bookmarkEnd w:id="6"/>
      <w:bookmarkEnd w:id="7"/>
      <w:bookmarkEnd w:id="8"/>
      <w:bookmarkEnd w:id="9"/>
      <w:bookmarkEnd w:id="10"/>
      <w:bookmarkEnd w:id="11"/>
      <w:bookmarkEnd w:id="12"/>
      <w:bookmarkEnd w:id="13"/>
      <w:bookmarkEnd w:id="14"/>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5" w:name="_Toc10948"/>
      <w:bookmarkStart w:id="16" w:name="_Toc7067"/>
      <w:bookmarkStart w:id="17" w:name="_Toc9131"/>
      <w:bookmarkStart w:id="18" w:name="_Toc3912"/>
      <w:bookmarkStart w:id="19" w:name="_Toc13021"/>
      <w:bookmarkStart w:id="20" w:name="_Toc10183"/>
      <w:bookmarkStart w:id="21" w:name="_Toc26481"/>
      <w:bookmarkStart w:id="22" w:name="_Toc28103"/>
      <w:bookmarkStart w:id="23" w:name="_Toc30724"/>
      <w:bookmarkStart w:id="24" w:name="_Toc3081"/>
      <w:bookmarkStart w:id="25" w:name="_Toc32214"/>
      <w:bookmarkStart w:id="26" w:name="_Toc8717"/>
      <w:bookmarkStart w:id="27" w:name="_Toc3447"/>
      <w:bookmarkStart w:id="28" w:name="_Toc30080"/>
      <w:bookmarkStart w:id="29" w:name="_Toc18513"/>
      <w:bookmarkStart w:id="30" w:name="_Toc18879"/>
      <w:bookmarkStart w:id="31" w:name="_Toc19115"/>
      <w:bookmarkStart w:id="32" w:name="_Toc3392"/>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5"/>
      <w:bookmarkEnd w:id="16"/>
      <w:bookmarkEnd w:id="17"/>
      <w:bookmarkEnd w:id="18"/>
      <w:bookmarkEnd w:id="19"/>
      <w:bookmarkEnd w:id="20"/>
      <w:bookmarkEnd w:id="21"/>
      <w:bookmarkEnd w:id="22"/>
      <w:bookmarkEnd w:id="23"/>
      <w:bookmarkEnd w:id="24"/>
      <w:bookmarkEnd w:id="25"/>
    </w:p>
    <w:bookmarkEnd w:id="26"/>
    <w:bookmarkEnd w:id="27"/>
    <w:bookmarkEnd w:id="28"/>
    <w:bookmarkEnd w:id="29"/>
    <w:bookmarkEnd w:id="30"/>
    <w:bookmarkEnd w:id="31"/>
    <w:bookmarkEnd w:id="32"/>
    <w:p>
      <w:pPr>
        <w:spacing w:line="440" w:lineRule="exact"/>
        <w:ind w:firstLine="440" w:firstLineChars="200"/>
        <w:outlineLvl w:val="1"/>
        <w:rPr>
          <w:rFonts w:hint="eastAsia" w:ascii="仿宋" w:hAnsi="仿宋" w:eastAsia="仿宋" w:cs="仿宋"/>
          <w:sz w:val="22"/>
        </w:rPr>
      </w:pPr>
      <w:bookmarkStart w:id="33" w:name="_Toc9042"/>
      <w:bookmarkStart w:id="34" w:name="_Toc30920"/>
      <w:bookmarkStart w:id="35" w:name="_Toc7249"/>
      <w:bookmarkStart w:id="36" w:name="_Toc18259"/>
      <w:bookmarkStart w:id="37" w:name="_Toc30649"/>
      <w:bookmarkStart w:id="38" w:name="_Toc15196"/>
      <w:bookmarkStart w:id="39" w:name="_Toc10142"/>
      <w:bookmarkStart w:id="40" w:name="_Toc23645"/>
      <w:bookmarkStart w:id="41" w:name="_Toc22795"/>
      <w:bookmarkStart w:id="42" w:name="_Toc14004"/>
      <w:bookmarkStart w:id="43"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3"/>
      <w:bookmarkEnd w:id="34"/>
      <w:bookmarkEnd w:id="35"/>
      <w:bookmarkEnd w:id="36"/>
      <w:bookmarkEnd w:id="37"/>
      <w:bookmarkEnd w:id="38"/>
      <w:bookmarkEnd w:id="39"/>
      <w:bookmarkEnd w:id="40"/>
      <w:bookmarkEnd w:id="41"/>
    </w:p>
    <w:p>
      <w:pPr>
        <w:spacing w:line="440" w:lineRule="exact"/>
        <w:ind w:firstLine="440" w:firstLineChars="200"/>
        <w:outlineLvl w:val="1"/>
        <w:rPr>
          <w:rFonts w:hint="eastAsia" w:ascii="仿宋" w:hAnsi="仿宋" w:eastAsia="仿宋" w:cs="仿宋"/>
          <w:sz w:val="22"/>
        </w:rPr>
      </w:pPr>
      <w:bookmarkStart w:id="44" w:name="_Toc19600"/>
      <w:bookmarkStart w:id="45" w:name="_Toc21988"/>
      <w:bookmarkStart w:id="46" w:name="_Toc4775"/>
      <w:bookmarkStart w:id="47" w:name="_Toc3534"/>
      <w:bookmarkStart w:id="48" w:name="_Toc3004"/>
      <w:bookmarkStart w:id="49" w:name="_Toc24117"/>
      <w:bookmarkStart w:id="50" w:name="_Toc25516"/>
      <w:bookmarkStart w:id="51" w:name="_Toc26548"/>
      <w:bookmarkStart w:id="52" w:name="_Toc30083"/>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2"/>
      <w:bookmarkEnd w:id="43"/>
      <w:bookmarkEnd w:id="44"/>
      <w:bookmarkEnd w:id="45"/>
      <w:bookmarkEnd w:id="46"/>
      <w:bookmarkEnd w:id="47"/>
      <w:bookmarkEnd w:id="48"/>
      <w:bookmarkEnd w:id="49"/>
      <w:bookmarkEnd w:id="50"/>
      <w:bookmarkEnd w:id="51"/>
      <w:bookmarkEnd w:id="52"/>
    </w:p>
    <w:p>
      <w:pPr>
        <w:spacing w:line="440" w:lineRule="exact"/>
        <w:ind w:firstLine="440" w:firstLineChars="200"/>
        <w:outlineLvl w:val="1"/>
        <w:rPr>
          <w:rFonts w:hint="eastAsia" w:ascii="仿宋" w:hAnsi="仿宋" w:eastAsia="仿宋" w:cs="仿宋"/>
          <w:sz w:val="22"/>
        </w:rPr>
      </w:pPr>
      <w:bookmarkStart w:id="53" w:name="_Toc21982"/>
      <w:bookmarkStart w:id="54" w:name="_Toc691"/>
      <w:bookmarkStart w:id="55" w:name="_Toc16666"/>
      <w:bookmarkStart w:id="56" w:name="_Toc12333"/>
      <w:bookmarkStart w:id="57" w:name="_Toc22198"/>
      <w:bookmarkStart w:id="58" w:name="_Toc14887"/>
      <w:bookmarkStart w:id="59" w:name="_Toc16764"/>
      <w:bookmarkStart w:id="60" w:name="_Toc32166"/>
      <w:bookmarkStart w:id="61" w:name="_Toc27376"/>
      <w:bookmarkStart w:id="62" w:name="_Toc23192"/>
      <w:bookmarkStart w:id="63" w:name="_Toc3494"/>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3"/>
      <w:bookmarkEnd w:id="54"/>
      <w:bookmarkEnd w:id="55"/>
      <w:bookmarkEnd w:id="56"/>
      <w:bookmarkEnd w:id="57"/>
      <w:bookmarkEnd w:id="58"/>
      <w:bookmarkEnd w:id="59"/>
      <w:bookmarkEnd w:id="60"/>
      <w:bookmarkEnd w:id="61"/>
      <w:bookmarkEnd w:id="62"/>
      <w:bookmarkEnd w:id="63"/>
    </w:p>
    <w:p>
      <w:pPr>
        <w:spacing w:line="440" w:lineRule="exact"/>
        <w:ind w:firstLine="440" w:firstLineChars="200"/>
        <w:outlineLvl w:val="1"/>
        <w:rPr>
          <w:rFonts w:hint="eastAsia" w:ascii="仿宋" w:hAnsi="仿宋" w:eastAsia="仿宋" w:cs="仿宋"/>
          <w:sz w:val="22"/>
        </w:rPr>
      </w:pPr>
      <w:bookmarkStart w:id="64" w:name="_Toc31581"/>
      <w:bookmarkStart w:id="65" w:name="_Toc11914"/>
      <w:bookmarkStart w:id="66" w:name="_Toc25068"/>
      <w:bookmarkStart w:id="67" w:name="_Toc10013"/>
      <w:bookmarkStart w:id="68" w:name="_Toc22606"/>
      <w:bookmarkStart w:id="69" w:name="_Toc3943"/>
      <w:bookmarkStart w:id="70" w:name="_Toc9263"/>
      <w:bookmarkStart w:id="71" w:name="_Toc5412"/>
      <w:bookmarkStart w:id="72" w:name="_Toc4577"/>
      <w:bookmarkStart w:id="73" w:name="_Toc14269"/>
      <w:bookmarkStart w:id="74" w:name="_Toc1371"/>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4"/>
      <w:bookmarkEnd w:id="65"/>
      <w:bookmarkEnd w:id="66"/>
      <w:bookmarkEnd w:id="67"/>
      <w:bookmarkEnd w:id="68"/>
      <w:bookmarkEnd w:id="69"/>
      <w:bookmarkEnd w:id="70"/>
      <w:bookmarkEnd w:id="71"/>
      <w:bookmarkEnd w:id="72"/>
      <w:bookmarkEnd w:id="73"/>
      <w:bookmarkEnd w:id="74"/>
    </w:p>
    <w:p>
      <w:pPr>
        <w:spacing w:line="440" w:lineRule="exact"/>
        <w:ind w:firstLine="440" w:firstLineChars="200"/>
        <w:outlineLvl w:val="1"/>
        <w:rPr>
          <w:rFonts w:hint="eastAsia" w:ascii="仿宋" w:hAnsi="仿宋" w:eastAsia="仿宋" w:cs="仿宋"/>
          <w:sz w:val="22"/>
        </w:rPr>
      </w:pPr>
      <w:bookmarkStart w:id="75" w:name="_Toc18935"/>
      <w:bookmarkStart w:id="76" w:name="_Toc3908"/>
      <w:bookmarkStart w:id="77" w:name="_Toc31890"/>
      <w:bookmarkStart w:id="78" w:name="_Toc2316"/>
      <w:bookmarkStart w:id="79" w:name="_Toc17108"/>
      <w:bookmarkStart w:id="80" w:name="_Toc13677"/>
      <w:bookmarkStart w:id="81" w:name="_Toc10600"/>
      <w:bookmarkStart w:id="82" w:name="_Toc29190"/>
      <w:bookmarkStart w:id="83" w:name="_Toc13267"/>
      <w:bookmarkStart w:id="84" w:name="_Toc11489"/>
      <w:bookmarkStart w:id="85" w:name="_Toc293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5"/>
      <w:bookmarkEnd w:id="76"/>
      <w:bookmarkEnd w:id="77"/>
      <w:bookmarkEnd w:id="78"/>
      <w:bookmarkEnd w:id="79"/>
      <w:bookmarkEnd w:id="80"/>
      <w:bookmarkEnd w:id="81"/>
      <w:bookmarkEnd w:id="82"/>
      <w:bookmarkEnd w:id="83"/>
      <w:bookmarkEnd w:id="84"/>
      <w:bookmarkEnd w:id="8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6" w:name="_Toc31638"/>
      <w:bookmarkStart w:id="87" w:name="_Toc21351"/>
      <w:bookmarkStart w:id="88" w:name="_Toc14252"/>
      <w:bookmarkStart w:id="89" w:name="_Toc15916"/>
      <w:bookmarkStart w:id="90" w:name="_Toc26756"/>
      <w:bookmarkStart w:id="91" w:name="_Toc32365"/>
      <w:bookmarkStart w:id="92" w:name="_Toc12088"/>
      <w:bookmarkStart w:id="93" w:name="_Toc1313"/>
      <w:bookmarkStart w:id="94" w:name="_Toc2412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6"/>
      <w:bookmarkEnd w:id="87"/>
      <w:bookmarkEnd w:id="88"/>
      <w:bookmarkEnd w:id="89"/>
      <w:bookmarkEnd w:id="90"/>
      <w:bookmarkEnd w:id="91"/>
      <w:bookmarkEnd w:id="92"/>
      <w:bookmarkEnd w:id="93"/>
      <w:bookmarkEnd w:id="94"/>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5" w:name="_Toc28267"/>
    </w:p>
    <w:bookmarkEnd w:id="95"/>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6" w:name="_Toc11278"/>
      <w:bookmarkStart w:id="97" w:name="_Toc19589"/>
      <w:bookmarkStart w:id="98" w:name="_Toc29215"/>
      <w:bookmarkStart w:id="99" w:name="_Toc15894"/>
      <w:bookmarkStart w:id="100" w:name="_Toc27948"/>
      <w:bookmarkStart w:id="101" w:name="_Toc27985"/>
      <w:bookmarkStart w:id="102" w:name="_Toc22760"/>
      <w:bookmarkStart w:id="103" w:name="_Toc18046"/>
      <w:bookmarkStart w:id="104" w:name="_Toc15083"/>
      <w:bookmarkStart w:id="105" w:name="_Toc23212"/>
      <w:bookmarkStart w:id="106" w:name="_Toc26609"/>
      <w:bookmarkStart w:id="107" w:name="_Toc10583"/>
      <w:bookmarkStart w:id="108" w:name="_Toc939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360" w:lineRule="auto"/>
        <w:ind w:firstLine="440" w:firstLineChars="200"/>
        <w:outlineLvl w:val="1"/>
        <w:rPr>
          <w:rFonts w:hint="eastAsia" w:ascii="仿宋" w:hAnsi="仿宋" w:eastAsia="仿宋" w:cs="仿宋"/>
          <w:sz w:val="22"/>
        </w:rPr>
      </w:pPr>
      <w:bookmarkStart w:id="109" w:name="_Toc4116"/>
      <w:bookmarkStart w:id="110" w:name="_Toc24671"/>
      <w:bookmarkStart w:id="111" w:name="_Toc14546"/>
      <w:bookmarkStart w:id="112" w:name="_Toc29648"/>
      <w:bookmarkStart w:id="113" w:name="_Toc24655"/>
      <w:bookmarkStart w:id="114" w:name="_Toc17741"/>
      <w:bookmarkStart w:id="115" w:name="_Toc8348"/>
      <w:bookmarkStart w:id="116" w:name="_Toc757"/>
      <w:bookmarkStart w:id="117" w:name="_Toc24107"/>
      <w:bookmarkStart w:id="118" w:name="_Toc27767"/>
      <w:bookmarkStart w:id="119" w:name="_Toc17204"/>
      <w:bookmarkStart w:id="120" w:name="_Toc8083"/>
      <w:bookmarkStart w:id="121" w:name="_Toc8940"/>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09"/>
      <w:bookmarkEnd w:id="110"/>
      <w:bookmarkEnd w:id="111"/>
      <w:bookmarkEnd w:id="112"/>
      <w:bookmarkEnd w:id="113"/>
      <w:bookmarkEnd w:id="114"/>
      <w:bookmarkEnd w:id="115"/>
      <w:bookmarkEnd w:id="116"/>
      <w:bookmarkEnd w:id="117"/>
      <w:bookmarkEnd w:id="118"/>
      <w:bookmarkEnd w:id="119"/>
      <w:bookmarkEnd w:id="120"/>
      <w:bookmarkEnd w:id="121"/>
    </w:p>
    <w:p>
      <w:pPr>
        <w:spacing w:line="360" w:lineRule="auto"/>
        <w:ind w:firstLine="440" w:firstLineChars="200"/>
        <w:outlineLvl w:val="1"/>
        <w:rPr>
          <w:rFonts w:hint="eastAsia" w:ascii="仿宋" w:hAnsi="仿宋" w:eastAsia="仿宋" w:cs="仿宋"/>
          <w:sz w:val="22"/>
        </w:rPr>
      </w:pPr>
      <w:bookmarkStart w:id="122" w:name="_Toc10950"/>
      <w:bookmarkStart w:id="123" w:name="_Toc22243"/>
      <w:bookmarkStart w:id="124" w:name="_Toc12682"/>
      <w:bookmarkStart w:id="125" w:name="_Toc14781"/>
      <w:bookmarkStart w:id="126" w:name="_Toc10308"/>
      <w:bookmarkStart w:id="127" w:name="_Toc10945"/>
      <w:bookmarkStart w:id="128" w:name="_Toc24280"/>
      <w:bookmarkStart w:id="129" w:name="_Toc5840"/>
      <w:bookmarkStart w:id="130" w:name="_Toc15917"/>
      <w:bookmarkStart w:id="131" w:name="_Toc20745"/>
      <w:bookmarkStart w:id="132" w:name="_Toc8524"/>
      <w:bookmarkStart w:id="133" w:name="_Toc2003"/>
      <w:r>
        <w:rPr>
          <w:rFonts w:hint="eastAsia" w:ascii="仿宋" w:hAnsi="仿宋" w:eastAsia="仿宋" w:cs="仿宋"/>
          <w:sz w:val="22"/>
        </w:rPr>
        <w:t>日    期：</w:t>
      </w:r>
      <w:bookmarkEnd w:id="122"/>
      <w:bookmarkEnd w:id="123"/>
      <w:bookmarkEnd w:id="124"/>
      <w:bookmarkEnd w:id="125"/>
      <w:bookmarkEnd w:id="126"/>
      <w:bookmarkEnd w:id="127"/>
      <w:bookmarkEnd w:id="128"/>
      <w:bookmarkEnd w:id="129"/>
      <w:bookmarkEnd w:id="130"/>
      <w:bookmarkEnd w:id="131"/>
      <w:bookmarkEnd w:id="132"/>
      <w:bookmarkEnd w:id="133"/>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eastAsia"/>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73F3B1"/>
    <w:multiLevelType w:val="singleLevel"/>
    <w:tmpl w:val="A973F3B1"/>
    <w:lvl w:ilvl="0" w:tentative="0">
      <w:start w:val="1"/>
      <w:numFmt w:val="decimal"/>
      <w:lvlText w:val="%1."/>
      <w:lvlJc w:val="left"/>
      <w:pPr>
        <w:tabs>
          <w:tab w:val="left" w:pos="312"/>
        </w:tabs>
      </w:pPr>
    </w:lvl>
  </w:abstractNum>
  <w:abstractNum w:abstractNumId="1">
    <w:nsid w:val="0723BC51"/>
    <w:multiLevelType w:val="singleLevel"/>
    <w:tmpl w:val="0723BC51"/>
    <w:lvl w:ilvl="0" w:tentative="0">
      <w:start w:val="1"/>
      <w:numFmt w:val="decimal"/>
      <w:lvlText w:val="%1."/>
      <w:lvlJc w:val="left"/>
      <w:pPr>
        <w:tabs>
          <w:tab w:val="left" w:pos="312"/>
        </w:tabs>
      </w:pPr>
    </w:lvl>
  </w:abstractNum>
  <w:abstractNum w:abstractNumId="2">
    <w:nsid w:val="1500A6E5"/>
    <w:multiLevelType w:val="singleLevel"/>
    <w:tmpl w:val="1500A6E5"/>
    <w:lvl w:ilvl="0" w:tentative="0">
      <w:start w:val="1"/>
      <w:numFmt w:val="decimal"/>
      <w:lvlText w:val="%1."/>
      <w:lvlJc w:val="left"/>
      <w:pPr>
        <w:tabs>
          <w:tab w:val="left" w:pos="312"/>
        </w:tabs>
      </w:pPr>
    </w:lvl>
  </w:abstractNum>
  <w:abstractNum w:abstractNumId="3">
    <w:nsid w:val="1F291D92"/>
    <w:multiLevelType w:val="singleLevel"/>
    <w:tmpl w:val="1F291D92"/>
    <w:lvl w:ilvl="0" w:tentative="0">
      <w:start w:val="1"/>
      <w:numFmt w:val="decimal"/>
      <w:lvlText w:val="%1."/>
      <w:lvlJc w:val="left"/>
      <w:pPr>
        <w:tabs>
          <w:tab w:val="left" w:pos="312"/>
        </w:tabs>
      </w:pPr>
    </w:lvl>
  </w:abstractNum>
  <w:abstractNum w:abstractNumId="4">
    <w:nsid w:val="51016291"/>
    <w:multiLevelType w:val="singleLevel"/>
    <w:tmpl w:val="51016291"/>
    <w:lvl w:ilvl="0" w:tentative="0">
      <w:start w:val="1"/>
      <w:numFmt w:val="chineseCounting"/>
      <w:suff w:val="nothing"/>
      <w:lvlText w:val="%1、"/>
      <w:lvlJc w:val="left"/>
      <w:rPr>
        <w:rFonts w:hint="eastAsia"/>
      </w:rPr>
    </w:lvl>
  </w:abstractNum>
  <w:abstractNum w:abstractNumId="5">
    <w:nsid w:val="61AC7663"/>
    <w:multiLevelType w:val="singleLevel"/>
    <w:tmpl w:val="61AC7663"/>
    <w:lvl w:ilvl="0" w:tentative="0">
      <w:start w:val="1"/>
      <w:numFmt w:val="decimal"/>
      <w:lvlText w:val="%1."/>
      <w:lvlJc w:val="left"/>
      <w:pPr>
        <w:tabs>
          <w:tab w:val="left" w:pos="312"/>
        </w:tabs>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62C6"/>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29E52CF"/>
    <w:rsid w:val="07953CAB"/>
    <w:rsid w:val="07B925A7"/>
    <w:rsid w:val="0BF815CE"/>
    <w:rsid w:val="0C6266C1"/>
    <w:rsid w:val="0C716207"/>
    <w:rsid w:val="0E911C5D"/>
    <w:rsid w:val="0FD06917"/>
    <w:rsid w:val="0FD22573"/>
    <w:rsid w:val="103C350A"/>
    <w:rsid w:val="104656F7"/>
    <w:rsid w:val="109013FD"/>
    <w:rsid w:val="10954EC2"/>
    <w:rsid w:val="12A81059"/>
    <w:rsid w:val="14456F80"/>
    <w:rsid w:val="15445F77"/>
    <w:rsid w:val="17CD0B1C"/>
    <w:rsid w:val="195D2073"/>
    <w:rsid w:val="1A37043E"/>
    <w:rsid w:val="2262170C"/>
    <w:rsid w:val="228C2840"/>
    <w:rsid w:val="25644C9D"/>
    <w:rsid w:val="272816FC"/>
    <w:rsid w:val="27C42904"/>
    <w:rsid w:val="28203DA9"/>
    <w:rsid w:val="2E8A7141"/>
    <w:rsid w:val="307D687A"/>
    <w:rsid w:val="33BC6502"/>
    <w:rsid w:val="357C4381"/>
    <w:rsid w:val="364F4E7F"/>
    <w:rsid w:val="365344A5"/>
    <w:rsid w:val="396510AC"/>
    <w:rsid w:val="3B4C1295"/>
    <w:rsid w:val="3D2B34C1"/>
    <w:rsid w:val="3ED3727D"/>
    <w:rsid w:val="405F3E1B"/>
    <w:rsid w:val="40EE5E6B"/>
    <w:rsid w:val="41065270"/>
    <w:rsid w:val="41EE0E8D"/>
    <w:rsid w:val="44DA14CD"/>
    <w:rsid w:val="452A4069"/>
    <w:rsid w:val="486E11CC"/>
    <w:rsid w:val="48983A5D"/>
    <w:rsid w:val="498E4B49"/>
    <w:rsid w:val="4A5E7EC0"/>
    <w:rsid w:val="4AE36A9A"/>
    <w:rsid w:val="4B7A520A"/>
    <w:rsid w:val="4EE10A0C"/>
    <w:rsid w:val="511B173F"/>
    <w:rsid w:val="51CB3FD0"/>
    <w:rsid w:val="54407E70"/>
    <w:rsid w:val="5536063D"/>
    <w:rsid w:val="55B75F0E"/>
    <w:rsid w:val="55F211D3"/>
    <w:rsid w:val="577B25E6"/>
    <w:rsid w:val="58535569"/>
    <w:rsid w:val="5C452678"/>
    <w:rsid w:val="5C5C1607"/>
    <w:rsid w:val="5C7C0F06"/>
    <w:rsid w:val="5FEC0FA4"/>
    <w:rsid w:val="61DB5EE7"/>
    <w:rsid w:val="629B498F"/>
    <w:rsid w:val="62FA0171"/>
    <w:rsid w:val="637366D0"/>
    <w:rsid w:val="63E72E68"/>
    <w:rsid w:val="64ED5044"/>
    <w:rsid w:val="65C660EF"/>
    <w:rsid w:val="65DA011F"/>
    <w:rsid w:val="66D20681"/>
    <w:rsid w:val="672843F4"/>
    <w:rsid w:val="69EF0691"/>
    <w:rsid w:val="6A052BEC"/>
    <w:rsid w:val="6A38583D"/>
    <w:rsid w:val="6C0F1984"/>
    <w:rsid w:val="6C3C2942"/>
    <w:rsid w:val="6CAC0A51"/>
    <w:rsid w:val="6CF82393"/>
    <w:rsid w:val="701306BF"/>
    <w:rsid w:val="710D63F2"/>
    <w:rsid w:val="71C813F5"/>
    <w:rsid w:val="71D57369"/>
    <w:rsid w:val="732B1655"/>
    <w:rsid w:val="74D66230"/>
    <w:rsid w:val="75233D75"/>
    <w:rsid w:val="77490A08"/>
    <w:rsid w:val="78BA1DAC"/>
    <w:rsid w:val="796D0F02"/>
    <w:rsid w:val="799A6260"/>
    <w:rsid w:val="7AA159BD"/>
    <w:rsid w:val="7B777280"/>
    <w:rsid w:val="7BC74393"/>
    <w:rsid w:val="7DFC578F"/>
    <w:rsid w:val="7EE24117"/>
    <w:rsid w:val="7F350078"/>
    <w:rsid w:val="7FA7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5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4</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2024-04-08T08:34:53Z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