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酒店服务采购项目市场调研需求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一、基本服务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（一）可同时提供住宿、会议服务及餐饮。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（二）住宿费须符合成都市区差旅费标准，即标准单人间、双人间价格</w:t>
      </w:r>
      <w:r>
        <w:rPr>
          <w:rFonts w:hint="default" w:ascii="Arial" w:hAnsi="Arial" w:eastAsia="仿宋_GB2312" w:cs="Arial"/>
          <w:sz w:val="32"/>
          <w:szCs w:val="32"/>
          <w:lang w:val="en-US" w:eastAsia="zh-CN"/>
        </w:rPr>
        <w:t>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370元/人/天。</w:t>
      </w:r>
    </w:p>
    <w:p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二、增值服务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（一）有专门的客户经理与医院对接，保证通讯24小时畅通，可及时沟通解决有关事宜；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（二）在旺季可优先保证医院的预定使用；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（三）根据酒店实际情况提供延迟退房服务；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（四）会议结束后统一结算，可挂账；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（五）在提供会议服务时，保证会议室各个设备能够正常运行，并全程提供优质化服务；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（六）如提供的住宿房间不能正常使用，及时更换与预定同档次的房间或适当升级房型；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（七）提供客房保留及延迟退房服务；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（八）提供正餐延迟服务。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276" w:lineRule="auto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法定代表人授权书</w:t>
      </w:r>
    </w:p>
    <w:p>
      <w:pPr>
        <w:spacing w:line="276" w:lineRule="auto"/>
        <w:jc w:val="center"/>
        <w:rPr>
          <w:rFonts w:ascii="黑体" w:hAnsi="黑体" w:eastAsia="黑体"/>
          <w:bCs/>
          <w:sz w:val="44"/>
          <w:szCs w:val="44"/>
        </w:rPr>
      </w:pPr>
    </w:p>
    <w:p>
      <w:pPr>
        <w:tabs>
          <w:tab w:val="left" w:pos="6300"/>
        </w:tabs>
        <w:spacing w:line="276" w:lineRule="auto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（采购单位名称）：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本授权委托书声明：我         系          的法定代表人，现授权      为我公司（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酒店）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委托代理人，以本公司（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酒店）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的名义参加四川省妇幼保健院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酒店服务招标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活动。委托代理人在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酒店服务招标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活动过程中所签署的一切文件和处理与之有关的一切事务，我及我的公司（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酒店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）均予以承认并全部承担其产生的所有权利和义务。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委托代理人无转委托权。特此委托。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特此声明</w:t>
      </w: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法定代表人签字：</w:t>
      </w: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授权代表签字：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投标人名称：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     （加盖公章）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日期：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jc w:val="both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★说明：上述证明文件附有法定代表人、被授权代表身份证复印件（加盖公章）时才能生效。</w:t>
      </w:r>
    </w:p>
    <w:p>
      <w:pPr>
        <w:pStyle w:val="2"/>
        <w:rPr>
          <w:rFonts w:hint="eastAsia" w:ascii="仿宋_GB2312" w:hAnsi="宋体" w:eastAsia="仿宋_GB2312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附件3</w:t>
      </w:r>
    </w:p>
    <w:p>
      <w:pPr>
        <w:numPr>
          <w:ilvl w:val="-1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酒店报价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3" w:firstLineChars="200"/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1.住宿</w:t>
      </w:r>
    </w:p>
    <w:tbl>
      <w:tblPr>
        <w:tblStyle w:val="3"/>
        <w:tblW w:w="845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310"/>
        <w:gridCol w:w="1628"/>
        <w:gridCol w:w="1701"/>
        <w:gridCol w:w="1276"/>
        <w:gridCol w:w="12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3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ascii="黑体" w:hAnsi="黑体" w:eastAsia="黑体" w:cs="宋体"/>
                <w:sz w:val="24"/>
                <w:szCs w:val="24"/>
              </w:rPr>
              <w:t>房型</w:t>
            </w:r>
          </w:p>
        </w:tc>
        <w:tc>
          <w:tcPr>
            <w:tcW w:w="13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ascii="黑体" w:hAnsi="黑体" w:eastAsia="黑体" w:cs="宋体"/>
                <w:sz w:val="24"/>
                <w:szCs w:val="24"/>
              </w:rPr>
              <w:t>房间总数</w:t>
            </w:r>
          </w:p>
        </w:tc>
        <w:tc>
          <w:tcPr>
            <w:tcW w:w="162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ascii="黑体" w:hAnsi="黑体" w:eastAsia="黑体" w:cs="宋体"/>
                <w:sz w:val="24"/>
                <w:szCs w:val="24"/>
              </w:rPr>
              <w:t>挂牌价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（元/间/天）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协议价（含早）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（元/间/天）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折扣率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ascii="黑体" w:hAnsi="黑体" w:eastAsia="黑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1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标准间</w:t>
            </w:r>
          </w:p>
        </w:tc>
        <w:tc>
          <w:tcPr>
            <w:tcW w:w="131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1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单人间</w:t>
            </w:r>
          </w:p>
        </w:tc>
        <w:tc>
          <w:tcPr>
            <w:tcW w:w="131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31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……</w:t>
            </w:r>
          </w:p>
        </w:tc>
        <w:tc>
          <w:tcPr>
            <w:tcW w:w="131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</w:tbl>
    <w:p>
      <w:pPr>
        <w:adjustRightInd w:val="0"/>
        <w:spacing w:line="400" w:lineRule="exact"/>
        <w:ind w:firstLine="480" w:firstLineChars="200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注:</w:t>
      </w:r>
    </w:p>
    <w:p>
      <w:pPr>
        <w:adjustRightInd w:val="0"/>
        <w:spacing w:line="400" w:lineRule="exact"/>
        <w:ind w:firstLine="480" w:firstLineChars="200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</w:t>
      </w:r>
      <w:r>
        <w:rPr>
          <w:rFonts w:ascii="楷体" w:hAnsi="楷体" w:eastAsia="楷体"/>
          <w:sz w:val="24"/>
          <w:szCs w:val="24"/>
        </w:rPr>
        <w:t>.</w:t>
      </w:r>
      <w:r>
        <w:rPr>
          <w:rFonts w:hint="eastAsia" w:ascii="楷体" w:hAnsi="楷体" w:eastAsia="楷体"/>
          <w:sz w:val="24"/>
          <w:szCs w:val="24"/>
        </w:rPr>
        <w:t>此报价中某种房间类别有多种报价，应在上表中逐个列明，如标准单人间有二种房型，则分别标注标准单人间A、标准单人间B，并在备注中说明差异。</w:t>
      </w:r>
    </w:p>
    <w:p>
      <w:pPr>
        <w:adjustRightInd w:val="0"/>
        <w:spacing w:line="400" w:lineRule="exact"/>
        <w:ind w:firstLine="480" w:firstLineChars="200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2</w:t>
      </w:r>
      <w:r>
        <w:rPr>
          <w:rFonts w:ascii="楷体" w:hAnsi="楷体" w:eastAsia="楷体"/>
          <w:sz w:val="24"/>
          <w:szCs w:val="24"/>
        </w:rPr>
        <w:t>.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挂牌价</w:t>
      </w:r>
      <w:r>
        <w:rPr>
          <w:rFonts w:hint="eastAsia" w:ascii="楷体" w:hAnsi="楷体" w:eastAsia="楷体"/>
          <w:sz w:val="24"/>
          <w:szCs w:val="24"/>
        </w:rPr>
        <w:t>乘以折扣率为投标价</w:t>
      </w:r>
      <w:r>
        <w:rPr>
          <w:rFonts w:hint="eastAsia" w:ascii="楷体" w:hAnsi="楷体" w:eastAsia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协议价</w:t>
      </w:r>
      <w:r>
        <w:rPr>
          <w:rFonts w:hint="eastAsia" w:ascii="楷体" w:hAnsi="楷体" w:eastAsia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/>
          <w:sz w:val="24"/>
          <w:szCs w:val="24"/>
        </w:rPr>
        <w:t>，不得再加收其他费用；</w:t>
      </w:r>
    </w:p>
    <w:p>
      <w:pPr>
        <w:adjustRightInd w:val="0"/>
        <w:spacing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3</w:t>
      </w:r>
      <w:r>
        <w:rPr>
          <w:rFonts w:ascii="楷体" w:hAnsi="楷体" w:eastAsia="楷体"/>
          <w:sz w:val="24"/>
          <w:szCs w:val="24"/>
        </w:rPr>
        <w:t>.</w:t>
      </w:r>
      <w:r>
        <w:rPr>
          <w:rFonts w:hint="eastAsia" w:ascii="楷体" w:hAnsi="楷体" w:eastAsia="楷体"/>
          <w:sz w:val="24"/>
          <w:szCs w:val="24"/>
        </w:rPr>
        <w:t>各投标人在填报时，要根据自己的情况，分别将房间的特殊配置在备注栏中加以注明。以上表格不够可增加。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2.餐饮</w:t>
      </w:r>
    </w:p>
    <w:tbl>
      <w:tblPr>
        <w:tblStyle w:val="3"/>
        <w:tblW w:w="837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2034"/>
        <w:gridCol w:w="3566"/>
        <w:gridCol w:w="10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用餐容纳人数</w:t>
            </w:r>
          </w:p>
        </w:tc>
        <w:tc>
          <w:tcPr>
            <w:tcW w:w="3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起订标准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桌餐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　（   ）人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（   ）元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/桌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自助餐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　（   ）人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（   ）人起订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hAnsi="宋体" w:cs="宋体"/>
                <w:sz w:val="24"/>
                <w:szCs w:val="24"/>
              </w:rPr>
              <w:t>（   ）元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hAnsi="宋体" w:cs="宋体"/>
                <w:sz w:val="24"/>
                <w:szCs w:val="24"/>
              </w:rPr>
              <w:t>人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套餐（盒饭）</w:t>
            </w:r>
          </w:p>
        </w:tc>
        <w:tc>
          <w:tcPr>
            <w:tcW w:w="2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  <w:tc>
          <w:tcPr>
            <w:tcW w:w="3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（   ）人起订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hAnsi="宋体" w:cs="宋体"/>
                <w:sz w:val="24"/>
                <w:szCs w:val="24"/>
              </w:rPr>
              <w:t>（   ）元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hAnsi="宋体" w:cs="宋体"/>
                <w:sz w:val="24"/>
                <w:szCs w:val="24"/>
              </w:rPr>
              <w:t>人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>
      <w:pPr>
        <w:adjustRightInd w:val="0"/>
        <w:spacing w:line="400" w:lineRule="exact"/>
        <w:ind w:firstLine="480" w:firstLineChars="200"/>
        <w:jc w:val="left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注：</w:t>
      </w:r>
    </w:p>
    <w:p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left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1.桌餐、自助餐及套餐（盒饭）在备注栏注明菜品荤素种类。</w:t>
      </w:r>
    </w:p>
    <w:p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left"/>
        <w:rPr>
          <w:rFonts w:hint="default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2.如桌餐、自助餐、套餐（盒饭）有不同价位，可根据实际情况在表中增加。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3.会议室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（1）全天价格</w:t>
      </w:r>
    </w:p>
    <w:tbl>
      <w:tblPr>
        <w:tblStyle w:val="3"/>
        <w:tblW w:w="86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137"/>
        <w:gridCol w:w="988"/>
        <w:gridCol w:w="962"/>
        <w:gridCol w:w="1163"/>
        <w:gridCol w:w="1162"/>
        <w:gridCol w:w="913"/>
        <w:gridCol w:w="13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ascii="黑体" w:hAnsi="黑体" w:eastAsia="黑体" w:cs="宋体"/>
                <w:sz w:val="24"/>
                <w:szCs w:val="24"/>
              </w:rPr>
              <w:t>会议室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ascii="黑体" w:hAnsi="黑体" w:eastAsia="黑体" w:cs="宋体"/>
                <w:sz w:val="24"/>
                <w:szCs w:val="24"/>
              </w:rPr>
              <w:t>面积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16"/>
                <w:szCs w:val="16"/>
              </w:rPr>
              <w:t>（平方米）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容纳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人数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总间数</w:t>
            </w:r>
          </w:p>
        </w:tc>
        <w:tc>
          <w:tcPr>
            <w:tcW w:w="116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ascii="黑体" w:hAnsi="黑体" w:eastAsia="黑体" w:cs="宋体"/>
                <w:sz w:val="24"/>
                <w:szCs w:val="24"/>
              </w:rPr>
              <w:t>挂牌价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16"/>
                <w:szCs w:val="16"/>
              </w:rPr>
              <w:t>（元/间/天）</w:t>
            </w:r>
          </w:p>
        </w:tc>
        <w:tc>
          <w:tcPr>
            <w:tcW w:w="1162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协议价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16"/>
                <w:szCs w:val="16"/>
              </w:rPr>
              <w:t>（元/间/天）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折扣率</w:t>
            </w:r>
          </w:p>
        </w:tc>
        <w:tc>
          <w:tcPr>
            <w:tcW w:w="1354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多媒体设备（1.LED显示屏;</w:t>
            </w:r>
          </w:p>
          <w:p>
            <w:pPr>
              <w:widowControl/>
              <w:jc w:val="center"/>
              <w:rPr>
                <w:rFonts w:hint="default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2.投影）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137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62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163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162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13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354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" w:type="dxa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……</w:t>
            </w:r>
          </w:p>
        </w:tc>
        <w:tc>
          <w:tcPr>
            <w:tcW w:w="1137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88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62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163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162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13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354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</w:tr>
    </w:tbl>
    <w:p>
      <w:pPr>
        <w:adjustRightInd w:val="0"/>
        <w:spacing w:line="400" w:lineRule="exact"/>
        <w:ind w:firstLine="480" w:firstLineChars="200"/>
        <w:jc w:val="left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注：</w:t>
      </w:r>
    </w:p>
    <w:p>
      <w:pPr>
        <w:adjustRightInd w:val="0"/>
        <w:spacing w:line="400" w:lineRule="exact"/>
        <w:ind w:firstLine="480" w:firstLineChars="200"/>
        <w:jc w:val="left"/>
        <w:rPr>
          <w:rFonts w:hint="default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1.小会议室的容纳人数与面积比（容纳人数/面积）应在1.5至2.0以内。大会议室（200平方以上（含））的容纳人数按课桌式计算，其容纳人数与面积比（容纳人数/面积）应在1至1.5以内。</w:t>
      </w:r>
    </w:p>
    <w:p>
      <w:pPr>
        <w:adjustRightInd w:val="0"/>
        <w:spacing w:line="400" w:lineRule="exact"/>
        <w:ind w:firstLine="480" w:firstLineChars="200"/>
        <w:jc w:val="left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2.多媒体设备有LED显示屏就填1，如仅有投影则填2。</w:t>
      </w:r>
    </w:p>
    <w:p>
      <w:pPr>
        <w:adjustRightInd w:val="0"/>
        <w:spacing w:line="400" w:lineRule="exact"/>
        <w:ind w:firstLine="480" w:firstLineChars="200"/>
        <w:jc w:val="left"/>
        <w:rPr>
          <w:rFonts w:hint="default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3.会场应包含座牌、主席台、纸笔及矿泉水等。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（2）半天价格</w:t>
      </w:r>
    </w:p>
    <w:tbl>
      <w:tblPr>
        <w:tblStyle w:val="3"/>
        <w:tblW w:w="92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087"/>
        <w:gridCol w:w="997"/>
        <w:gridCol w:w="983"/>
        <w:gridCol w:w="1128"/>
        <w:gridCol w:w="1238"/>
        <w:gridCol w:w="975"/>
        <w:gridCol w:w="1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ascii="黑体" w:hAnsi="黑体" w:eastAsia="黑体" w:cs="宋体"/>
                <w:sz w:val="24"/>
                <w:szCs w:val="24"/>
              </w:rPr>
              <w:t>会议室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ascii="黑体" w:hAnsi="黑体" w:eastAsia="黑体" w:cs="宋体"/>
                <w:sz w:val="24"/>
                <w:szCs w:val="24"/>
              </w:rPr>
              <w:t>面积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16"/>
                <w:szCs w:val="16"/>
              </w:rPr>
              <w:t>（平方米）</w:t>
            </w:r>
          </w:p>
        </w:tc>
        <w:tc>
          <w:tcPr>
            <w:tcW w:w="99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容纳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人数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总间数</w:t>
            </w:r>
          </w:p>
        </w:tc>
        <w:tc>
          <w:tcPr>
            <w:tcW w:w="112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ascii="黑体" w:hAnsi="黑体" w:eastAsia="黑体" w:cs="宋体"/>
                <w:sz w:val="24"/>
                <w:szCs w:val="24"/>
              </w:rPr>
              <w:t>挂牌价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16"/>
                <w:szCs w:val="16"/>
              </w:rPr>
              <w:t>（元/间/天）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协议价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16"/>
                <w:szCs w:val="16"/>
              </w:rPr>
              <w:t>（元/间/天）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折扣率</w:t>
            </w:r>
          </w:p>
        </w:tc>
        <w:tc>
          <w:tcPr>
            <w:tcW w:w="1412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多媒体设备（1.LED显示屏;</w:t>
            </w:r>
          </w:p>
          <w:p>
            <w:pPr>
              <w:widowControl/>
              <w:jc w:val="center"/>
              <w:rPr>
                <w:rFonts w:hint="default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>2.投影）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087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83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238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75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2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……</w:t>
            </w:r>
          </w:p>
        </w:tc>
        <w:tc>
          <w:tcPr>
            <w:tcW w:w="1087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83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238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975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2" w:type="dxa"/>
          </w:tcPr>
          <w:p>
            <w:pPr>
              <w:widowControl/>
              <w:jc w:val="left"/>
              <w:rPr>
                <w:rFonts w:hAnsi="宋体" w:cs="宋体"/>
                <w:sz w:val="28"/>
                <w:szCs w:val="28"/>
              </w:rPr>
            </w:pPr>
          </w:p>
        </w:tc>
      </w:tr>
    </w:tbl>
    <w:p>
      <w:pPr>
        <w:adjustRightInd w:val="0"/>
        <w:spacing w:line="400" w:lineRule="exact"/>
        <w:ind w:firstLine="480" w:firstLineChars="200"/>
        <w:jc w:val="left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注：</w:t>
      </w:r>
    </w:p>
    <w:p>
      <w:pPr>
        <w:adjustRightInd w:val="0"/>
        <w:spacing w:line="400" w:lineRule="exact"/>
        <w:ind w:firstLine="480" w:firstLineChars="200"/>
        <w:jc w:val="left"/>
        <w:rPr>
          <w:rFonts w:hint="default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1.小会议室的容纳人数与面积比（容纳人数/面积）应在1.5至2.0以内。大会议室（200平方以上（含））的容纳人数按课桌式计算，其容纳人数与面积比（容纳人数/面积）应在1至1.5以内。</w:t>
      </w:r>
    </w:p>
    <w:p>
      <w:pPr>
        <w:adjustRightInd w:val="0"/>
        <w:spacing w:line="400" w:lineRule="exact"/>
        <w:ind w:firstLine="480" w:firstLineChars="200"/>
        <w:jc w:val="left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2.多媒体设备有LED显示屏就填1，如仅有投影则填2。</w:t>
      </w:r>
    </w:p>
    <w:p>
      <w:pPr>
        <w:pStyle w:val="2"/>
        <w:ind w:left="0" w:leftChars="0" w:firstLine="0" w:firstLineChars="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3.会场应包含座牌、主席台、纸笔及矿泉水等。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D51FC"/>
    <w:rsid w:val="078654EB"/>
    <w:rsid w:val="0A737522"/>
    <w:rsid w:val="0B024CEA"/>
    <w:rsid w:val="0C623B64"/>
    <w:rsid w:val="0EA4599C"/>
    <w:rsid w:val="0EAF5114"/>
    <w:rsid w:val="11423F4D"/>
    <w:rsid w:val="11537596"/>
    <w:rsid w:val="120120A3"/>
    <w:rsid w:val="135C48AF"/>
    <w:rsid w:val="136B301F"/>
    <w:rsid w:val="155712EE"/>
    <w:rsid w:val="15BA6E90"/>
    <w:rsid w:val="177A6DB7"/>
    <w:rsid w:val="17C57EF6"/>
    <w:rsid w:val="19315AA7"/>
    <w:rsid w:val="1973741B"/>
    <w:rsid w:val="19B20417"/>
    <w:rsid w:val="1AD51C50"/>
    <w:rsid w:val="1B1C5EEC"/>
    <w:rsid w:val="1B2A0620"/>
    <w:rsid w:val="1B7F72BB"/>
    <w:rsid w:val="1BE347FD"/>
    <w:rsid w:val="1CE671E5"/>
    <w:rsid w:val="1DD060A8"/>
    <w:rsid w:val="1E2A5371"/>
    <w:rsid w:val="1E81435E"/>
    <w:rsid w:val="1EE75C5E"/>
    <w:rsid w:val="1F1A061F"/>
    <w:rsid w:val="1FAE4CDF"/>
    <w:rsid w:val="20191337"/>
    <w:rsid w:val="20A17DD7"/>
    <w:rsid w:val="2226698F"/>
    <w:rsid w:val="22912A91"/>
    <w:rsid w:val="22C00343"/>
    <w:rsid w:val="234B7FCE"/>
    <w:rsid w:val="23593A6C"/>
    <w:rsid w:val="23A35006"/>
    <w:rsid w:val="23A732F6"/>
    <w:rsid w:val="23C747DC"/>
    <w:rsid w:val="23DA34EC"/>
    <w:rsid w:val="248D23B7"/>
    <w:rsid w:val="27387C18"/>
    <w:rsid w:val="28CA232B"/>
    <w:rsid w:val="292F0C52"/>
    <w:rsid w:val="2A357D46"/>
    <w:rsid w:val="2B497EFC"/>
    <w:rsid w:val="2BC3329F"/>
    <w:rsid w:val="2C2D51FC"/>
    <w:rsid w:val="2C5C6C41"/>
    <w:rsid w:val="2D15360D"/>
    <w:rsid w:val="2D49161B"/>
    <w:rsid w:val="2F3739F4"/>
    <w:rsid w:val="2F8108C0"/>
    <w:rsid w:val="30407B73"/>
    <w:rsid w:val="324A10F2"/>
    <w:rsid w:val="33F06903"/>
    <w:rsid w:val="341E3CD9"/>
    <w:rsid w:val="3463090E"/>
    <w:rsid w:val="34934B22"/>
    <w:rsid w:val="349E1032"/>
    <w:rsid w:val="357371A5"/>
    <w:rsid w:val="35A01ED9"/>
    <w:rsid w:val="36874DC1"/>
    <w:rsid w:val="373D2D14"/>
    <w:rsid w:val="38152963"/>
    <w:rsid w:val="38830A16"/>
    <w:rsid w:val="390F7748"/>
    <w:rsid w:val="3950795C"/>
    <w:rsid w:val="3D073DF4"/>
    <w:rsid w:val="3D2F7ADD"/>
    <w:rsid w:val="3D4954BA"/>
    <w:rsid w:val="3D4F7989"/>
    <w:rsid w:val="3D904C4F"/>
    <w:rsid w:val="3F2F2EAA"/>
    <w:rsid w:val="3F4B04B9"/>
    <w:rsid w:val="3F651674"/>
    <w:rsid w:val="3F9934AA"/>
    <w:rsid w:val="3FFB2AF4"/>
    <w:rsid w:val="401727AD"/>
    <w:rsid w:val="405C7B30"/>
    <w:rsid w:val="40B459FB"/>
    <w:rsid w:val="414C3718"/>
    <w:rsid w:val="42356F1E"/>
    <w:rsid w:val="42794124"/>
    <w:rsid w:val="429A4F0A"/>
    <w:rsid w:val="43697015"/>
    <w:rsid w:val="43787E8F"/>
    <w:rsid w:val="438616BE"/>
    <w:rsid w:val="43922A90"/>
    <w:rsid w:val="43F4437E"/>
    <w:rsid w:val="463170DE"/>
    <w:rsid w:val="47787585"/>
    <w:rsid w:val="47B8585C"/>
    <w:rsid w:val="4817202C"/>
    <w:rsid w:val="486B47E6"/>
    <w:rsid w:val="49BE460C"/>
    <w:rsid w:val="4B1D6D32"/>
    <w:rsid w:val="4C511FD0"/>
    <w:rsid w:val="4CA311CD"/>
    <w:rsid w:val="4D67622A"/>
    <w:rsid w:val="4DD6655D"/>
    <w:rsid w:val="4EC87D6F"/>
    <w:rsid w:val="4FC44DBF"/>
    <w:rsid w:val="50192F4C"/>
    <w:rsid w:val="514E1B21"/>
    <w:rsid w:val="51FF6D7E"/>
    <w:rsid w:val="523949DF"/>
    <w:rsid w:val="52AE34FD"/>
    <w:rsid w:val="54847DD6"/>
    <w:rsid w:val="55674F1B"/>
    <w:rsid w:val="56A15AA7"/>
    <w:rsid w:val="576D1992"/>
    <w:rsid w:val="57C3450C"/>
    <w:rsid w:val="583E29A9"/>
    <w:rsid w:val="5A764115"/>
    <w:rsid w:val="5B0B261B"/>
    <w:rsid w:val="5B445361"/>
    <w:rsid w:val="5BA078A6"/>
    <w:rsid w:val="5C691766"/>
    <w:rsid w:val="5D240CE7"/>
    <w:rsid w:val="5E176F50"/>
    <w:rsid w:val="5EF30BA3"/>
    <w:rsid w:val="630879D9"/>
    <w:rsid w:val="631334C9"/>
    <w:rsid w:val="63B46689"/>
    <w:rsid w:val="655D2621"/>
    <w:rsid w:val="655D6B4E"/>
    <w:rsid w:val="65757CA7"/>
    <w:rsid w:val="67F36BE0"/>
    <w:rsid w:val="68FF5CBC"/>
    <w:rsid w:val="69174CAC"/>
    <w:rsid w:val="693B1C94"/>
    <w:rsid w:val="693D3027"/>
    <w:rsid w:val="6BDC57B7"/>
    <w:rsid w:val="6C6E3BFB"/>
    <w:rsid w:val="6C9458BF"/>
    <w:rsid w:val="6DCD4174"/>
    <w:rsid w:val="6E1F2562"/>
    <w:rsid w:val="6E980AD8"/>
    <w:rsid w:val="6ED3501A"/>
    <w:rsid w:val="6F320167"/>
    <w:rsid w:val="6F6153A6"/>
    <w:rsid w:val="6FCD5440"/>
    <w:rsid w:val="709C42DE"/>
    <w:rsid w:val="70F2325A"/>
    <w:rsid w:val="71B60C41"/>
    <w:rsid w:val="72FD236E"/>
    <w:rsid w:val="73422BFE"/>
    <w:rsid w:val="752F17CF"/>
    <w:rsid w:val="75464CC0"/>
    <w:rsid w:val="76875C05"/>
    <w:rsid w:val="77316A05"/>
    <w:rsid w:val="787F3C08"/>
    <w:rsid w:val="7A20063A"/>
    <w:rsid w:val="7A476FB2"/>
    <w:rsid w:val="7C1E7627"/>
    <w:rsid w:val="7DD4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2024-04-09T08:48:00Z</dcterms:created>
  <dc:creator>王丽媛</dc:creator>
  <cp:lastModifiedBy>王丽媛</cp:lastModifiedBy>
  <dcterms:modified xsi:type="dcterms:W3CDTF">2024-04-09T08:57:40Z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