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r>
        <w:rPr>
          <w:rFonts w:hint="eastAsia" w:ascii="宋体" w:hAnsi="宋体" w:eastAsia="宋体" w:cs="仿宋"/>
          <w:sz w:val="24"/>
          <w:szCs w:val="24"/>
        </w:rPr>
        <w:t>★</w:t>
      </w:r>
      <w:r>
        <w:rPr>
          <w:rFonts w:hint="eastAsia" w:ascii="宋体" w:hAnsi="宋体" w:eastAsia="宋体" w:cs="仿宋"/>
          <w:bCs w:val="0"/>
          <w:sz w:val="24"/>
          <w:szCs w:val="24"/>
        </w:rPr>
        <w:t>”符号的条款为本项目的重要参数条款，未标识符号的条款为一般参数条款。</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rPr>
        <w:t>一、</w:t>
      </w:r>
      <w:r>
        <w:rPr>
          <w:rFonts w:hint="eastAsia" w:ascii="宋体" w:hAnsi="宋体" w:eastAsia="宋体" w:cs="仿宋"/>
          <w:sz w:val="24"/>
          <w:szCs w:val="24"/>
          <w:lang w:val="en-US" w:eastAsia="zh-CN"/>
        </w:rPr>
        <w:t>采购项目编号：SCFY-YXZB202404-003（比）</w:t>
      </w:r>
    </w:p>
    <w:p>
      <w:pPr>
        <w:pStyle w:val="3"/>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二、年度采购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9万元</w:t>
      </w:r>
    </w:p>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三</w:t>
      </w:r>
      <w:r>
        <w:rPr>
          <w:rFonts w:hint="eastAsia" w:ascii="宋体" w:hAnsi="宋体" w:eastAsia="宋体" w:cs="仿宋"/>
          <w:sz w:val="24"/>
          <w:szCs w:val="24"/>
        </w:rPr>
        <w:t xml:space="preserve">、 </w:t>
      </w:r>
      <w:bookmarkEnd w:id="0"/>
      <w:bookmarkStart w:id="1" w:name="_Toc217446095"/>
      <w:r>
        <w:rPr>
          <w:rFonts w:hint="eastAsia" w:ascii="宋体" w:hAnsi="宋体" w:eastAsia="宋体" w:cs="仿宋"/>
          <w:sz w:val="24"/>
          <w:szCs w:val="24"/>
        </w:rPr>
        <w:t>项目清单及技术要求：</w:t>
      </w:r>
    </w:p>
    <w:tbl>
      <w:tblPr>
        <w:tblStyle w:val="12"/>
        <w:tblW w:w="5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00"/>
        <w:gridCol w:w="1020"/>
        <w:gridCol w:w="996"/>
        <w:gridCol w:w="808"/>
        <w:gridCol w:w="6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352" w:type="pct"/>
            <w:vMerge w:val="restart"/>
            <w:noWrap w:val="0"/>
            <w:vAlign w:val="center"/>
          </w:tcPr>
          <w:p>
            <w:pP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293"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499" w:type="pct"/>
            <w:noWrap w:val="0"/>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87" w:type="pct"/>
            <w:noWrap w:val="0"/>
            <w:vAlign w:val="center"/>
          </w:tcPr>
          <w:p>
            <w:pPr>
              <w:autoSpaceDE w:val="0"/>
              <w:autoSpaceDN w:val="0"/>
              <w:jc w:val="center"/>
              <w:rPr>
                <w:rFonts w:hint="default" w:ascii="宋体" w:hAnsi="宋体" w:eastAsia="宋体"/>
                <w:b/>
                <w:sz w:val="18"/>
                <w:szCs w:val="18"/>
                <w:lang w:val="en-US" w:eastAsia="zh-CN"/>
              </w:rPr>
            </w:pPr>
            <w:r>
              <w:rPr>
                <w:rFonts w:hint="eastAsia" w:ascii="宋体" w:hAnsi="宋体"/>
                <w:b/>
                <w:sz w:val="18"/>
                <w:szCs w:val="18"/>
                <w:lang w:val="en-US" w:eastAsia="zh-CN"/>
              </w:rPr>
              <w:t>预算单价</w:t>
            </w:r>
          </w:p>
        </w:tc>
        <w:tc>
          <w:tcPr>
            <w:tcW w:w="395" w:type="pct"/>
            <w:noWrap w:val="0"/>
            <w:vAlign w:val="center"/>
          </w:tcPr>
          <w:p>
            <w:pPr>
              <w:autoSpaceDE w:val="0"/>
              <w:autoSpaceDN w:val="0"/>
              <w:jc w:val="center"/>
              <w:rPr>
                <w:rFonts w:ascii="宋体" w:hAnsi="宋体"/>
                <w:b/>
                <w:sz w:val="18"/>
                <w:szCs w:val="18"/>
              </w:rPr>
            </w:pPr>
            <w:r>
              <w:rPr>
                <w:rFonts w:hint="eastAsia" w:ascii="宋体" w:hAnsi="宋体"/>
                <w:b/>
                <w:sz w:val="18"/>
                <w:szCs w:val="18"/>
              </w:rPr>
              <w:t>预估年</w:t>
            </w:r>
            <w:r>
              <w:rPr>
                <w:rFonts w:hint="eastAsia" w:ascii="宋体" w:hAnsi="宋体"/>
                <w:b/>
                <w:sz w:val="18"/>
                <w:szCs w:val="18"/>
                <w:lang w:val="en-US" w:eastAsia="zh-CN"/>
              </w:rPr>
              <w:t>度用</w:t>
            </w:r>
            <w:r>
              <w:rPr>
                <w:rFonts w:hint="eastAsia" w:ascii="宋体" w:hAnsi="宋体"/>
                <w:b/>
                <w:sz w:val="18"/>
                <w:szCs w:val="18"/>
              </w:rPr>
              <w:t>量</w:t>
            </w:r>
          </w:p>
        </w:tc>
        <w:tc>
          <w:tcPr>
            <w:tcW w:w="2971"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52" w:type="pct"/>
            <w:vMerge w:val="continue"/>
            <w:noWrap w:val="0"/>
            <w:vAlign w:val="center"/>
          </w:tcPr>
          <w:p>
            <w:pPr>
              <w:spacing w:line="420" w:lineRule="exact"/>
              <w:jc w:val="center"/>
              <w:rPr>
                <w:rFonts w:hint="eastAsia" w:cs="宋体"/>
                <w:color w:val="000000"/>
                <w:kern w:val="0"/>
              </w:rPr>
            </w:pPr>
          </w:p>
        </w:tc>
        <w:tc>
          <w:tcPr>
            <w:tcW w:w="293" w:type="pct"/>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499"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rPr>
              <w:t>软组织扩张器</w:t>
            </w:r>
          </w:p>
        </w:tc>
        <w:tc>
          <w:tcPr>
            <w:tcW w:w="487"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rPr>
              <w:t>3000</w:t>
            </w:r>
          </w:p>
        </w:tc>
        <w:tc>
          <w:tcPr>
            <w:tcW w:w="395"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rPr>
              <w:t>30个</w:t>
            </w:r>
          </w:p>
        </w:tc>
        <w:tc>
          <w:tcPr>
            <w:tcW w:w="2971" w:type="pct"/>
            <w:noWrap w:val="0"/>
            <w:vAlign w:val="top"/>
          </w:tcPr>
          <w:p>
            <w:pPr>
              <w:pStyle w:val="2"/>
              <w:numPr>
                <w:ilvl w:val="0"/>
                <w:numId w:val="1"/>
              </w:numPr>
              <w:rPr>
                <w:rFonts w:hint="eastAsia" w:eastAsia="宋体"/>
                <w:lang w:eastAsia="zh-CN"/>
              </w:rPr>
            </w:pPr>
            <w:r>
              <w:rPr>
                <w:rFonts w:hint="eastAsia"/>
              </w:rPr>
              <w:t>可用于二期乳房重建皮肤软组织的预扩张（圆形扩张器）</w:t>
            </w:r>
            <w:r>
              <w:rPr>
                <w:rFonts w:hint="eastAsia"/>
                <w:lang w:eastAsia="zh-CN"/>
              </w:rPr>
              <w:t>。</w:t>
            </w:r>
          </w:p>
          <w:p>
            <w:pPr>
              <w:numPr>
                <w:ilvl w:val="0"/>
                <w:numId w:val="1"/>
              </w:numPr>
              <w:ind w:left="0" w:leftChars="0" w:firstLine="0" w:firstLineChars="0"/>
              <w:rPr>
                <w:rFonts w:hint="eastAsia" w:eastAsia="宋体"/>
                <w:lang w:eastAsia="zh-CN"/>
              </w:rPr>
            </w:pPr>
            <w:r>
              <w:rPr>
                <w:rFonts w:hint="eastAsia"/>
              </w:rPr>
              <w:t>可用于局部软组织损伤修复软组织扩张皮瓣转移（圆形、肾行扩张器）</w:t>
            </w:r>
            <w:r>
              <w:rPr>
                <w:rFonts w:hint="eastAsia"/>
                <w:lang w:eastAsia="zh-CN"/>
              </w:rPr>
              <w:t>。</w:t>
            </w:r>
          </w:p>
          <w:p>
            <w:pPr>
              <w:pStyle w:val="2"/>
              <w:numPr>
                <w:ilvl w:val="0"/>
                <w:numId w:val="1"/>
              </w:numPr>
              <w:ind w:left="0" w:leftChars="0" w:firstLine="0" w:firstLineChars="0"/>
              <w:rPr>
                <w:rFonts w:hint="eastAsia" w:eastAsia="宋体"/>
                <w:lang w:eastAsia="zh-CN"/>
              </w:rPr>
            </w:pPr>
            <w:r>
              <w:rPr>
                <w:rFonts w:hint="eastAsia"/>
              </w:rPr>
              <w:t>保乳手术脂肪移植前组织临时填充（肾形，长方形扩张器）</w:t>
            </w:r>
            <w:r>
              <w:rPr>
                <w:rFonts w:hint="eastAsia"/>
                <w:lang w:eastAsia="zh-CN"/>
              </w:rPr>
              <w:t>。</w:t>
            </w:r>
          </w:p>
          <w:p>
            <w:pPr>
              <w:pStyle w:val="2"/>
              <w:numPr>
                <w:ilvl w:val="0"/>
                <w:numId w:val="1"/>
              </w:numPr>
              <w:ind w:left="0" w:leftChars="0" w:firstLine="0" w:firstLineChars="0"/>
              <w:rPr>
                <w:rFonts w:hint="eastAsia"/>
                <w:lang w:eastAsia="zh-CN"/>
              </w:rPr>
            </w:pPr>
            <w:r>
              <w:rPr>
                <w:rFonts w:hint="eastAsia"/>
                <w:lang w:val="en-US" w:eastAsia="zh-CN"/>
              </w:rPr>
              <w:t>容积</w:t>
            </w:r>
            <w:r>
              <w:rPr>
                <w:rFonts w:hint="eastAsia"/>
              </w:rPr>
              <w:t>最小至少15ml，最大不低于600ml</w:t>
            </w:r>
            <w:r>
              <w:rPr>
                <w:rFonts w:hint="eastAsia"/>
                <w:lang w:eastAsia="zh-CN"/>
              </w:rPr>
              <w:t>。</w:t>
            </w:r>
          </w:p>
          <w:p>
            <w:pPr>
              <w:pStyle w:val="2"/>
              <w:numPr>
                <w:ilvl w:val="0"/>
                <w:numId w:val="1"/>
              </w:numPr>
              <w:ind w:left="0" w:leftChars="0" w:firstLine="0" w:firstLineChars="0"/>
              <w:rPr>
                <w:rFonts w:hint="default" w:asciiTheme="minorHAnsi" w:hAnsiTheme="minorHAnsi" w:eastAsiaTheme="minorEastAsia" w:cstheme="minorBidi"/>
                <w:kern w:val="2"/>
                <w:sz w:val="21"/>
                <w:szCs w:val="22"/>
                <w:lang w:val="en-US" w:eastAsia="zh-CN" w:bidi="ar-SA"/>
              </w:rPr>
            </w:pPr>
            <w:r>
              <w:rPr>
                <w:rFonts w:hint="eastAsia"/>
                <w:lang w:val="en-US" w:eastAsia="zh-CN"/>
              </w:rPr>
              <w:t>产品经环氧乙烷灭菌，一次性使用。</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pPr>
      <w:r>
        <w:rPr>
          <w:rFonts w:hint="eastAsia"/>
        </w:rPr>
        <w:t>▲1.供应商投标产品若为Ⅱ、Ⅲ类医疗器械和具有医疗器械注册证或备案凭证的体外诊断试剂，则必须为四川省药械集中采购及医药价格监管平台挂网公示产品,并提供挂网商品代码（</w:t>
      </w:r>
      <w:r>
        <w:rPr>
          <w:rFonts w:hint="eastAsia"/>
          <w:b/>
          <w:bCs/>
        </w:rPr>
        <w:t>已经挂网的需要提供集采平台挂网截图</w:t>
      </w:r>
      <w:r>
        <w:rPr>
          <w:rFonts w:hint="eastAsia"/>
        </w:rPr>
        <w:t>）。</w:t>
      </w:r>
    </w:p>
    <w:p>
      <w:pPr>
        <w:pStyle w:val="2"/>
      </w:pPr>
      <w:r>
        <w:rPr>
          <w:rFonts w:hint="eastAsia"/>
        </w:rPr>
        <w:t>▲2.供货期限：3年，采购数量以实际使用量为准。</w:t>
      </w:r>
    </w:p>
    <w:p>
      <w:pPr>
        <w:pStyle w:val="2"/>
      </w:pPr>
      <w:r>
        <w:rPr>
          <w:rFonts w:hint="eastAsia"/>
        </w:rPr>
        <w:t>▲3.合同结算：本项目的“预估年度用量”、 供应商的“投标总价”仅做为报价评审依据，最终根据实际需求进行相应调整，结算以实际发生量乘以供应商挂网单价（未挂网按投标单价）结算。</w:t>
      </w:r>
    </w:p>
    <w:p>
      <w:pPr>
        <w:widowControl/>
        <w:shd w:val="clear"/>
        <w:spacing w:line="360" w:lineRule="auto"/>
        <w:jc w:val="left"/>
        <w:rPr>
          <w:rFonts w:hint="eastAsia" w:ascii="宋体" w:hAnsi="宋体" w:eastAsia="宋体" w:cs="Segoe UI"/>
          <w:b/>
          <w:bCs/>
          <w:kern w:val="0"/>
          <w:sz w:val="28"/>
          <w:szCs w:val="28"/>
        </w:rPr>
      </w:pPr>
    </w:p>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2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972"/>
        <w:gridCol w:w="552"/>
        <w:gridCol w:w="4205"/>
        <w:gridCol w:w="4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396" w:type="dxa"/>
            <w:vMerge w:val="restart"/>
            <w:noWrap w:val="0"/>
            <w:vAlign w:val="center"/>
          </w:tcPr>
          <w:p>
            <w:pPr>
              <w:spacing w:line="420" w:lineRule="exact"/>
              <w:jc w:val="center"/>
              <w:rPr>
                <w:rFonts w:cs="宋体"/>
                <w:color w:val="000000"/>
                <w:kern w:val="0"/>
              </w:rPr>
            </w:pPr>
            <w:r>
              <w:rPr>
                <w:rFonts w:hint="eastAsia" w:cs="宋体"/>
                <w:color w:val="000000"/>
                <w:kern w:val="0"/>
              </w:rPr>
              <w:t>评分</w:t>
            </w:r>
          </w:p>
          <w:p>
            <w:pPr>
              <w:spacing w:line="420" w:lineRule="exact"/>
              <w:jc w:val="center"/>
              <w:rPr>
                <w:rFonts w:ascii="宋体" w:hAnsi="宋体" w:cs="Segoe UI"/>
                <w:b/>
                <w:color w:val="333333"/>
                <w:kern w:val="0"/>
                <w:sz w:val="18"/>
                <w:szCs w:val="18"/>
              </w:rPr>
            </w:pPr>
            <w:r>
              <w:rPr>
                <w:rFonts w:hint="eastAsia" w:cs="宋体"/>
                <w:color w:val="000000"/>
                <w:kern w:val="0"/>
              </w:rPr>
              <w:t>细则</w:t>
            </w:r>
          </w:p>
        </w:tc>
        <w:tc>
          <w:tcPr>
            <w:tcW w:w="972" w:type="dxa"/>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序号</w:t>
            </w:r>
          </w:p>
        </w:tc>
        <w:tc>
          <w:tcPr>
            <w:tcW w:w="552" w:type="dxa"/>
            <w:noWrap w:val="0"/>
            <w:vAlign w:val="center"/>
          </w:tcPr>
          <w:p>
            <w:pPr>
              <w:widowControl/>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评分因素</w:t>
            </w:r>
          </w:p>
        </w:tc>
        <w:tc>
          <w:tcPr>
            <w:tcW w:w="4206" w:type="dxa"/>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分值</w:t>
            </w:r>
          </w:p>
        </w:tc>
        <w:tc>
          <w:tcPr>
            <w:tcW w:w="4322" w:type="dxa"/>
            <w:noWrap w:val="0"/>
            <w:vAlign w:val="center"/>
          </w:tcPr>
          <w:p>
            <w:pPr>
              <w:widowControl/>
              <w:wordWrap w:val="0"/>
              <w:spacing w:line="240" w:lineRule="atLeast"/>
              <w:jc w:val="center"/>
              <w:rPr>
                <w:rFonts w:ascii="宋体" w:hAnsi="宋体" w:cs="Segoe UI"/>
                <w:b/>
                <w:color w:val="333333"/>
                <w:kern w:val="0"/>
                <w:sz w:val="18"/>
                <w:szCs w:val="18"/>
              </w:rPr>
            </w:pPr>
            <w:r>
              <w:rPr>
                <w:rFonts w:hint="eastAsia" w:ascii="宋体" w:hAnsi="宋体" w:cs="Segoe UI"/>
                <w:b/>
                <w:color w:val="333333"/>
                <w:kern w:val="0"/>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96" w:type="dxa"/>
            <w:vMerge w:val="continue"/>
            <w:noWrap w:val="0"/>
            <w:vAlign w:val="center"/>
          </w:tcPr>
          <w:p>
            <w:pPr>
              <w:spacing w:line="420" w:lineRule="exact"/>
              <w:jc w:val="center"/>
              <w:rPr>
                <w:rFonts w:ascii="宋体" w:hAnsi="宋体" w:cs="Segoe UI"/>
                <w:color w:val="333333"/>
                <w:kern w:val="0"/>
                <w:sz w:val="18"/>
                <w:szCs w:val="18"/>
                <w:lang w:val="en-US" w:eastAsia="zh-CN" w:bidi="ar-SA"/>
              </w:rPr>
            </w:pPr>
          </w:p>
        </w:tc>
        <w:tc>
          <w:tcPr>
            <w:tcW w:w="972" w:type="dxa"/>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1</w:t>
            </w:r>
          </w:p>
        </w:tc>
        <w:tc>
          <w:tcPr>
            <w:tcW w:w="552" w:type="dxa"/>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rPr>
              <w:t>30%</w:t>
            </w:r>
          </w:p>
        </w:tc>
        <w:tc>
          <w:tcPr>
            <w:tcW w:w="4206" w:type="dxa"/>
            <w:noWrap w:val="0"/>
            <w:vAlign w:val="center"/>
          </w:tcPr>
          <w:p>
            <w:pPr>
              <w:widowControl/>
              <w:wordWrap w:val="0"/>
              <w:spacing w:line="270" w:lineRule="atLeast"/>
              <w:jc w:val="center"/>
              <w:rPr>
                <w:rFonts w:ascii="宋体" w:hAnsi="宋体" w:cs="Segoe UI"/>
                <w:b/>
                <w:kern w:val="0"/>
                <w:sz w:val="18"/>
                <w:szCs w:val="18"/>
                <w:lang w:val="en-US" w:eastAsia="zh-CN" w:bidi="ar-SA"/>
              </w:rPr>
            </w:pPr>
            <w:r>
              <w:rPr>
                <w:rFonts w:hint="eastAsia" w:ascii="宋体" w:hAnsi="宋体" w:cs="Segoe UI"/>
                <w:color w:val="000000"/>
                <w:kern w:val="0"/>
                <w:sz w:val="18"/>
                <w:szCs w:val="18"/>
              </w:rPr>
              <w:t>30</w:t>
            </w:r>
          </w:p>
        </w:tc>
        <w:tc>
          <w:tcPr>
            <w:tcW w:w="4322" w:type="dxa"/>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Segoe UI"/>
                <w:kern w:val="0"/>
                <w:sz w:val="18"/>
                <w:szCs w:val="18"/>
              </w:rPr>
              <w:t>投标材料满足招标文件要求且以</w:t>
            </w:r>
            <w:r>
              <w:rPr>
                <w:rFonts w:hint="eastAsia" w:ascii="宋体" w:hAnsi="宋体" w:cs="Segoe UI"/>
                <w:b/>
                <w:bCs/>
                <w:kern w:val="0"/>
                <w:sz w:val="18"/>
                <w:szCs w:val="18"/>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，其价格分为30分。其他投标人的价格分统一按照以下公式计算：价格分=(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／投标总价)×30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396" w:type="dxa"/>
            <w:vMerge w:val="continue"/>
            <w:noWrap w:val="0"/>
            <w:vAlign w:val="center"/>
          </w:tcPr>
          <w:p>
            <w:pPr>
              <w:spacing w:line="420" w:lineRule="exact"/>
              <w:jc w:val="center"/>
              <w:rPr>
                <w:rFonts w:ascii="宋体" w:hAnsi="宋体" w:cs="Segoe UI"/>
                <w:color w:val="333333"/>
                <w:kern w:val="0"/>
                <w:sz w:val="18"/>
                <w:szCs w:val="18"/>
                <w:lang w:val="en-US" w:eastAsia="zh-CN" w:bidi="ar-SA"/>
              </w:rPr>
            </w:pPr>
          </w:p>
        </w:tc>
        <w:tc>
          <w:tcPr>
            <w:tcW w:w="972" w:type="dxa"/>
            <w:noWrap w:val="0"/>
            <w:vAlign w:val="center"/>
          </w:tcPr>
          <w:p>
            <w:pPr>
              <w:widowControl/>
              <w:wordWrap w:val="0"/>
              <w:spacing w:line="270" w:lineRule="atLeast"/>
              <w:jc w:val="center"/>
              <w:rPr>
                <w:rFonts w:ascii="宋体" w:hAnsi="宋体" w:cs="Segoe UI"/>
                <w:color w:val="333333"/>
                <w:kern w:val="0"/>
                <w:sz w:val="18"/>
                <w:szCs w:val="18"/>
                <w:lang w:val="en-US" w:eastAsia="zh-CN" w:bidi="ar-SA"/>
              </w:rPr>
            </w:pPr>
            <w:r>
              <w:rPr>
                <w:rFonts w:hint="eastAsia" w:ascii="宋体" w:hAnsi="宋体" w:cs="Segoe UI"/>
                <w:color w:val="000000"/>
                <w:kern w:val="0"/>
                <w:sz w:val="18"/>
                <w:szCs w:val="18"/>
              </w:rPr>
              <w:t>2</w:t>
            </w:r>
          </w:p>
        </w:tc>
        <w:tc>
          <w:tcPr>
            <w:tcW w:w="552" w:type="dxa"/>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rPr>
              <w:t>40%</w:t>
            </w:r>
          </w:p>
        </w:tc>
        <w:tc>
          <w:tcPr>
            <w:tcW w:w="4206" w:type="dxa"/>
            <w:noWrap w:val="0"/>
            <w:vAlign w:val="center"/>
          </w:tcPr>
          <w:p>
            <w:pPr>
              <w:widowControl/>
              <w:wordWrap w:val="0"/>
              <w:spacing w:line="270" w:lineRule="atLeast"/>
              <w:jc w:val="center"/>
              <w:rPr>
                <w:rFonts w:ascii="宋体" w:hAnsi="宋体" w:cs="Segoe UI"/>
                <w:kern w:val="0"/>
                <w:sz w:val="18"/>
                <w:szCs w:val="18"/>
                <w:lang w:val="en-US" w:eastAsia="zh-CN" w:bidi="ar-SA"/>
              </w:rPr>
            </w:pPr>
            <w:r>
              <w:rPr>
                <w:rFonts w:hint="eastAsia" w:ascii="宋体" w:hAnsi="宋体" w:cs="Segoe UI"/>
                <w:color w:val="000000"/>
                <w:kern w:val="0"/>
                <w:sz w:val="18"/>
                <w:szCs w:val="18"/>
              </w:rPr>
              <w:t>40</w:t>
            </w:r>
          </w:p>
        </w:tc>
        <w:tc>
          <w:tcPr>
            <w:tcW w:w="4322" w:type="dxa"/>
            <w:noWrap w:val="0"/>
            <w:vAlign w:val="center"/>
          </w:tcPr>
          <w:p>
            <w:pPr>
              <w:widowControl/>
              <w:wordWrap w:val="0"/>
              <w:spacing w:line="270" w:lineRule="atLeast"/>
              <w:jc w:val="left"/>
              <w:rPr>
                <w:rFonts w:ascii="宋体" w:hAnsi="宋体" w:cs="Segoe UI"/>
                <w:kern w:val="0"/>
                <w:sz w:val="18"/>
                <w:szCs w:val="18"/>
                <w:lang w:val="en-US" w:eastAsia="zh-CN" w:bidi="ar-SA"/>
              </w:rPr>
            </w:pPr>
            <w:r>
              <w:rPr>
                <w:rFonts w:hint="eastAsia" w:ascii="宋体" w:hAnsi="宋体" w:cs="宋体"/>
                <w:kern w:val="0"/>
                <w:sz w:val="18"/>
                <w:szCs w:val="18"/>
              </w:rPr>
              <w:t>投标人提供的试剂耗材的技术参数完全符合招标文件要求，没有负偏离得40分；非“*”条款技术参数不满足招标文件要求（负偏离），一次扣8分，扣完为止。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96" w:type="dxa"/>
            <w:vMerge w:val="continue"/>
            <w:noWrap w:val="0"/>
            <w:vAlign w:val="center"/>
          </w:tcPr>
          <w:p>
            <w:pPr>
              <w:spacing w:line="420" w:lineRule="exact"/>
              <w:jc w:val="center"/>
              <w:rPr>
                <w:rFonts w:hint="eastAsia" w:ascii="宋体" w:hAnsi="宋体" w:cs="Segoe UI"/>
                <w:color w:val="000000"/>
                <w:kern w:val="0"/>
                <w:sz w:val="18"/>
                <w:szCs w:val="18"/>
                <w:lang w:val="en-US" w:eastAsia="zh-CN" w:bidi="ar-SA"/>
              </w:rPr>
            </w:pPr>
          </w:p>
        </w:tc>
        <w:tc>
          <w:tcPr>
            <w:tcW w:w="972" w:type="dxa"/>
            <w:noWrap w:val="0"/>
            <w:vAlign w:val="center"/>
          </w:tcPr>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3</w:t>
            </w:r>
          </w:p>
        </w:tc>
        <w:tc>
          <w:tcPr>
            <w:tcW w:w="552" w:type="dxa"/>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样品评分</w:t>
            </w:r>
          </w:p>
          <w:p>
            <w:pPr>
              <w:widowControl/>
              <w:wordWrap w:val="0"/>
              <w:spacing w:line="270" w:lineRule="atLeast"/>
              <w:jc w:val="center"/>
              <w:rPr>
                <w:rFonts w:hint="eastAsia" w:ascii="宋体" w:hAnsi="宋体" w:cs="Segoe UI"/>
                <w:color w:val="000000"/>
                <w:kern w:val="0"/>
                <w:sz w:val="18"/>
                <w:szCs w:val="18"/>
                <w:lang w:val="en-US" w:eastAsia="zh-CN" w:bidi="ar-SA"/>
              </w:rPr>
            </w:pPr>
            <w:r>
              <w:rPr>
                <w:rFonts w:hint="eastAsia" w:ascii="宋体" w:hAnsi="宋体" w:cs="Segoe UI"/>
                <w:color w:val="000000"/>
                <w:kern w:val="0"/>
                <w:sz w:val="18"/>
                <w:szCs w:val="18"/>
              </w:rPr>
              <w:t>11%</w:t>
            </w:r>
          </w:p>
        </w:tc>
        <w:tc>
          <w:tcPr>
            <w:tcW w:w="4206" w:type="dxa"/>
            <w:noWrap w:val="0"/>
            <w:vAlign w:val="center"/>
          </w:tcPr>
          <w:p>
            <w:pPr>
              <w:widowControl/>
              <w:wordWrap w:val="0"/>
              <w:spacing w:line="270" w:lineRule="atLeast"/>
              <w:jc w:val="center"/>
              <w:rPr>
                <w:rFonts w:hint="eastAsia" w:ascii="宋体" w:hAnsi="宋体" w:cs="宋体"/>
                <w:kern w:val="0"/>
                <w:sz w:val="18"/>
                <w:szCs w:val="18"/>
                <w:lang w:val="en-US" w:eastAsia="zh-CN" w:bidi="ar-SA"/>
              </w:rPr>
            </w:pPr>
            <w:r>
              <w:rPr>
                <w:rFonts w:hint="eastAsia" w:ascii="宋体" w:hAnsi="宋体" w:cs="Segoe UI"/>
                <w:color w:val="000000"/>
                <w:kern w:val="0"/>
                <w:sz w:val="18"/>
                <w:szCs w:val="18"/>
              </w:rPr>
              <w:t>11</w:t>
            </w:r>
          </w:p>
        </w:tc>
        <w:tc>
          <w:tcPr>
            <w:tcW w:w="4322" w:type="dxa"/>
            <w:noWrap w:val="0"/>
            <w:vAlign w:val="center"/>
          </w:tcPr>
          <w:p>
            <w:pPr>
              <w:wordWrap w:val="0"/>
              <w:spacing w:line="270" w:lineRule="atLeast"/>
              <w:jc w:val="left"/>
              <w:rPr>
                <w:rFonts w:hint="eastAsia" w:ascii="宋体" w:hAnsi="宋体" w:cs="宋体"/>
                <w:kern w:val="0"/>
                <w:sz w:val="18"/>
                <w:szCs w:val="18"/>
                <w:lang w:val="en-US" w:eastAsia="zh-CN" w:bidi="ar-SA"/>
              </w:rPr>
            </w:pPr>
            <w:r>
              <w:rPr>
                <w:rFonts w:hint="eastAsia" w:ascii="宋体" w:hAnsi="宋体" w:cs="宋体"/>
                <w:kern w:val="0"/>
                <w:sz w:val="18"/>
                <w:szCs w:val="18"/>
              </w:rPr>
              <w:t>提供响应产品样品，根据样品的外观、材质、性能、是否符合临床需求等综合评定，优9-11分；良得6-8分；差得1-5分；未提供或提供不全本项不得分。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96" w:type="dxa"/>
            <w:vMerge w:val="continue"/>
            <w:noWrap w:val="0"/>
            <w:vAlign w:val="center"/>
          </w:tcPr>
          <w:p>
            <w:pPr>
              <w:spacing w:line="420" w:lineRule="exact"/>
              <w:jc w:val="center"/>
              <w:rPr>
                <w:rFonts w:hint="eastAsia" w:ascii="宋体" w:hAnsi="宋体" w:cs="Segoe UI"/>
                <w:color w:val="333333"/>
                <w:kern w:val="0"/>
                <w:sz w:val="18"/>
                <w:szCs w:val="18"/>
                <w:lang w:val="en-US" w:eastAsia="zh-CN" w:bidi="ar-SA"/>
              </w:rPr>
            </w:pPr>
          </w:p>
        </w:tc>
        <w:tc>
          <w:tcPr>
            <w:tcW w:w="972" w:type="dxa"/>
            <w:noWrap w:val="0"/>
            <w:vAlign w:val="center"/>
          </w:tcPr>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rPr>
              <w:t>4</w:t>
            </w:r>
          </w:p>
        </w:tc>
        <w:tc>
          <w:tcPr>
            <w:tcW w:w="552" w:type="dxa"/>
            <w:noWrap w:val="0"/>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Segoe UI"/>
                <w:color w:val="000000"/>
                <w:kern w:val="0"/>
                <w:sz w:val="18"/>
                <w:szCs w:val="18"/>
              </w:rPr>
              <w:t>10%</w:t>
            </w:r>
          </w:p>
        </w:tc>
        <w:tc>
          <w:tcPr>
            <w:tcW w:w="4206" w:type="dxa"/>
            <w:noWrap w:val="0"/>
            <w:vAlign w:val="center"/>
          </w:tcPr>
          <w:p>
            <w:pPr>
              <w:widowControl/>
              <w:wordWrap w:val="0"/>
              <w:spacing w:line="270" w:lineRule="atLeast"/>
              <w:jc w:val="center"/>
              <w:rPr>
                <w:rFonts w:hint="eastAsia" w:ascii="宋体" w:hAnsi="宋体" w:eastAsia="宋体" w:cs="宋体"/>
                <w:color w:val="333333"/>
                <w:kern w:val="0"/>
                <w:sz w:val="18"/>
                <w:szCs w:val="18"/>
                <w:lang w:val="en-US" w:eastAsia="zh-CN" w:bidi="ar-SA"/>
              </w:rPr>
            </w:pPr>
            <w:r>
              <w:rPr>
                <w:rFonts w:hint="eastAsia" w:ascii="宋体" w:hAnsi="宋体" w:cs="Segoe UI"/>
                <w:color w:val="333333"/>
                <w:kern w:val="0"/>
                <w:sz w:val="18"/>
                <w:szCs w:val="18"/>
              </w:rPr>
              <w:t>10</w:t>
            </w:r>
          </w:p>
        </w:tc>
        <w:tc>
          <w:tcPr>
            <w:tcW w:w="4322" w:type="dxa"/>
            <w:noWrap w:val="0"/>
            <w:vAlign w:val="center"/>
          </w:tcPr>
          <w:p>
            <w:pPr>
              <w:widowControl/>
              <w:wordWrap w:val="0"/>
              <w:spacing w:line="270" w:lineRule="atLeast"/>
              <w:jc w:val="left"/>
              <w:rPr>
                <w:rFonts w:hint="eastAsia" w:ascii="宋体" w:hAnsi="宋体" w:eastAsia="宋体" w:cs="Segoe UI"/>
                <w:color w:val="000000"/>
                <w:kern w:val="0"/>
                <w:sz w:val="18"/>
                <w:szCs w:val="18"/>
                <w:lang w:val="en-US" w:eastAsia="zh-CN" w:bidi="ar-SA"/>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投标人</w:t>
            </w:r>
            <w:r>
              <w:rPr>
                <w:rFonts w:hint="eastAsia" w:ascii="宋体" w:hAnsi="宋体" w:cs="宋体"/>
                <w:color w:val="000000"/>
                <w:kern w:val="0"/>
                <w:sz w:val="18"/>
                <w:szCs w:val="18"/>
              </w:rPr>
              <w:t>2020年以来在国内三甲医疗机构销售</w:t>
            </w:r>
            <w:r>
              <w:rPr>
                <w:rFonts w:hint="eastAsia" w:ascii="宋体" w:hAnsi="宋体" w:cs="宋体"/>
                <w:b/>
                <w:bCs/>
                <w:color w:val="000000"/>
                <w:kern w:val="0"/>
                <w:sz w:val="18"/>
                <w:szCs w:val="18"/>
              </w:rPr>
              <w:t>响应产品</w:t>
            </w:r>
            <w:r>
              <w:rPr>
                <w:rFonts w:hint="eastAsia" w:ascii="宋体" w:hAnsi="宋体" w:cs="宋体"/>
                <w:color w:val="000000"/>
                <w:kern w:val="0"/>
                <w:sz w:val="18"/>
                <w:szCs w:val="18"/>
              </w:rPr>
              <w:t>的业绩证明，每提供1家三甲医疗机构得2分，最多10分。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96" w:type="dxa"/>
            <w:vMerge w:val="continue"/>
            <w:noWrap w:val="0"/>
            <w:vAlign w:val="center"/>
          </w:tcPr>
          <w:p>
            <w:pPr>
              <w:spacing w:line="420" w:lineRule="exact"/>
              <w:jc w:val="center"/>
              <w:rPr>
                <w:rFonts w:hint="eastAsia" w:ascii="宋体" w:hAnsi="宋体" w:cs="Segoe UI"/>
                <w:color w:val="000000"/>
                <w:kern w:val="0"/>
                <w:sz w:val="18"/>
                <w:szCs w:val="18"/>
                <w:lang w:val="en-US" w:eastAsia="zh-CN" w:bidi="ar-SA"/>
              </w:rPr>
            </w:pPr>
          </w:p>
        </w:tc>
        <w:tc>
          <w:tcPr>
            <w:tcW w:w="972" w:type="dxa"/>
            <w:noWrap w:val="0"/>
            <w:vAlign w:val="center"/>
          </w:tcPr>
          <w:p>
            <w:pPr>
              <w:widowControl/>
              <w:wordWrap w:val="0"/>
              <w:spacing w:line="270" w:lineRule="atLeast"/>
              <w:jc w:val="center"/>
              <w:rPr>
                <w:rFonts w:ascii="宋体" w:hAnsi="宋体" w:cs="Segoe UI"/>
                <w:color w:val="000000"/>
                <w:kern w:val="0"/>
                <w:sz w:val="18"/>
                <w:szCs w:val="18"/>
                <w:lang w:val="en-US" w:eastAsia="zh-CN" w:bidi="ar-SA"/>
              </w:rPr>
            </w:pPr>
            <w:r>
              <w:rPr>
                <w:rFonts w:hint="eastAsia" w:ascii="宋体" w:hAnsi="宋体" w:cs="Segoe UI"/>
                <w:color w:val="000000"/>
                <w:kern w:val="0"/>
                <w:sz w:val="18"/>
                <w:szCs w:val="18"/>
              </w:rPr>
              <w:t>5</w:t>
            </w:r>
          </w:p>
        </w:tc>
        <w:tc>
          <w:tcPr>
            <w:tcW w:w="552" w:type="dxa"/>
            <w:noWrap w:val="0"/>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hint="default" w:ascii="宋体" w:hAnsi="宋体" w:eastAsia="宋体" w:cs="Segoe UI"/>
                <w:color w:val="333333"/>
                <w:kern w:val="0"/>
                <w:sz w:val="18"/>
                <w:szCs w:val="18"/>
                <w:lang w:val="en-US" w:eastAsia="zh-CN" w:bidi="ar-SA"/>
              </w:rPr>
            </w:pPr>
            <w:r>
              <w:rPr>
                <w:rFonts w:hint="eastAsia" w:ascii="宋体" w:hAnsi="宋体" w:cs="宋体"/>
                <w:color w:val="000000"/>
                <w:kern w:val="0"/>
                <w:sz w:val="18"/>
                <w:szCs w:val="18"/>
              </w:rPr>
              <w:t>9%</w:t>
            </w:r>
          </w:p>
        </w:tc>
        <w:tc>
          <w:tcPr>
            <w:tcW w:w="4206" w:type="dxa"/>
            <w:noWrap w:val="0"/>
            <w:vAlign w:val="center"/>
          </w:tcPr>
          <w:p>
            <w:pPr>
              <w:widowControl/>
              <w:spacing w:line="320" w:lineRule="atLeast"/>
              <w:ind w:left="-105" w:leftChars="0" w:right="-107" w:rightChars="0"/>
              <w:jc w:val="center"/>
              <w:rPr>
                <w:rFonts w:hint="default" w:ascii="宋体" w:hAnsi="宋体" w:cs="Segoe UI"/>
                <w:color w:val="000000"/>
                <w:kern w:val="0"/>
                <w:sz w:val="18"/>
                <w:szCs w:val="18"/>
                <w:lang w:val="en-US" w:eastAsia="zh-CN" w:bidi="ar-SA"/>
              </w:rPr>
            </w:pPr>
            <w:r>
              <w:rPr>
                <w:rFonts w:hint="eastAsia" w:ascii="宋体" w:hAnsi="宋体" w:cs="Segoe UI"/>
                <w:color w:val="333333"/>
                <w:kern w:val="0"/>
                <w:sz w:val="18"/>
                <w:szCs w:val="18"/>
              </w:rPr>
              <w:t>9</w:t>
            </w:r>
          </w:p>
        </w:tc>
        <w:tc>
          <w:tcPr>
            <w:tcW w:w="4322" w:type="dxa"/>
            <w:noWrap w:val="0"/>
            <w:vAlign w:val="center"/>
          </w:tcPr>
          <w:p>
            <w:pPr>
              <w:wordWrap w:val="0"/>
              <w:jc w:val="left"/>
              <w:rPr>
                <w:rFonts w:ascii="宋体" w:hAnsi="宋体" w:cs="Segoe UI"/>
                <w:color w:val="000000"/>
                <w:kern w:val="0"/>
                <w:sz w:val="18"/>
                <w:szCs w:val="18"/>
                <w:lang w:val="en-US" w:eastAsia="zh-CN" w:bidi="ar-SA"/>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9分。每缺少一项或提供的方案与本项目无关的扣1.5分；每有一项存在缺陷或漏洞的，且不利于项目实施的扣1分，分值扣完为止。</w:t>
            </w:r>
          </w:p>
        </w:tc>
      </w:tr>
    </w:tbl>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14:textFill>
            <w14:solidFill>
              <w14:schemeClr w14:val="tx1"/>
            </w14:solidFill>
          </w14:textFill>
        </w:rPr>
      </w:pPr>
      <w:r>
        <w:rPr>
          <w:rFonts w:ascii="仿宋_GB2312" w:hAnsi="Segoe UI" w:eastAsia="仿宋_GB2312" w:cs="Segoe UI"/>
          <w:b/>
          <w:bCs/>
          <w:color w:val="000000" w:themeColor="text1"/>
          <w:kern w:val="0"/>
          <w:sz w:val="28"/>
          <w:szCs w:val="28"/>
          <w14:textFill>
            <w14:solidFill>
              <w14:schemeClr w14:val="tx1"/>
            </w14:solidFill>
          </w14:textFill>
        </w:rPr>
        <w:br w:type="page"/>
      </w:r>
      <w:bookmarkStart w:id="135" w:name="_GoBack"/>
      <w:bookmarkEnd w:id="135"/>
    </w:p>
    <w:p>
      <w:pPr>
        <w:widowControl/>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pPr>
        <w:widowControl/>
        <w:shd w:val="clear" w:color="auto"/>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黑体" w:hAnsi="黑体" w:eastAsia="黑体" w:cs="Segoe UI"/>
          <w:color w:val="000000" w:themeColor="text1"/>
          <w:kern w:val="0"/>
          <w:sz w:val="32"/>
          <w:szCs w:val="32"/>
          <w14:textFill>
            <w14:solidFill>
              <w14:schemeClr w14:val="tx1"/>
            </w14:solidFill>
          </w14:textFill>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1、封面（公司、项目、联系人、联系方式）</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2、目录</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3、品目及报价表（格式见附件4）</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4、规格型号、配置及偏离表（格式见附件4）</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6、企业营业执照（复印件）</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7、</w:t>
      </w:r>
      <w:r>
        <w:rPr>
          <w:rFonts w:hint="eastAsia" w:ascii="仿宋_GB2312" w:hAnsi="Segoe UI" w:eastAsia="仿宋_GB2312" w:cs="Segoe UI"/>
          <w:color w:val="000000" w:themeColor="text1"/>
          <w:kern w:val="0"/>
          <w:sz w:val="24"/>
          <w:szCs w:val="24"/>
          <w14:textFill>
            <w14:solidFill>
              <w14:schemeClr w14:val="tx1"/>
            </w14:solidFill>
          </w14:textFill>
        </w:rPr>
        <w:t>组织机构代码证、税务登记证（复印件）</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9、生产厂家授权书（投标人不是生产厂家的）</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14:textFill>
            <w14:solidFill>
              <w14:schemeClr w14:val="tx1"/>
            </w14:solidFill>
          </w14:textFill>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16、产品质量及货源保证书</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17、售后</w:t>
      </w:r>
      <w:r>
        <w:rPr>
          <w:rFonts w:hint="eastAsia" w:ascii="仿宋_GB2312" w:hAnsi="Segoe UI" w:eastAsia="仿宋_GB2312" w:cs="Segoe UI"/>
          <w:color w:val="000000" w:themeColor="text1"/>
          <w:kern w:val="0"/>
          <w:sz w:val="24"/>
          <w:szCs w:val="24"/>
          <w14:textFill>
            <w14:solidFill>
              <w14:schemeClr w14:val="tx1"/>
            </w14:solidFill>
          </w14:textFill>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spacing w:val="8"/>
          <w:kern w:val="0"/>
          <w:sz w:val="24"/>
          <w:szCs w:val="24"/>
          <w14:textFill>
            <w14:solidFill>
              <w14:schemeClr w14:val="tx1"/>
            </w14:solidFill>
          </w14:textFill>
        </w:rPr>
        <w:t>19、产品说明书或</w:t>
      </w:r>
      <w:r>
        <w:rPr>
          <w:rFonts w:hint="eastAsia" w:ascii="仿宋_GB2312" w:hAnsi="Segoe UI" w:eastAsia="仿宋_GB2312" w:cs="Segoe UI"/>
          <w:color w:val="000000" w:themeColor="text1"/>
          <w:kern w:val="0"/>
          <w:sz w:val="24"/>
          <w:szCs w:val="24"/>
          <w14:textFill>
            <w14:solidFill>
              <w14:schemeClr w14:val="tx1"/>
            </w14:solidFill>
          </w14:textFill>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21、如有</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r>
        <w:rPr>
          <w:rFonts w:hint="eastAsia" w:ascii="仿宋_GB2312" w:hAnsi="Segoe UI" w:eastAsia="仿宋_GB2312" w:cs="Segoe UI"/>
          <w:color w:val="000000" w:themeColor="text1"/>
          <w:kern w:val="0"/>
          <w:sz w:val="24"/>
          <w:szCs w:val="24"/>
          <w14:textFill>
            <w14:solidFill>
              <w14:schemeClr w14:val="tx1"/>
            </w14:solidFill>
          </w14:textFill>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r>
        <w:rPr>
          <w:rFonts w:hint="eastAsia" w:ascii="仿宋_GB2312" w:hAnsi="Segoe UI" w:eastAsia="仿宋_GB2312" w:cs="Segoe UI"/>
          <w:color w:val="000000" w:themeColor="text1"/>
          <w:kern w:val="0"/>
          <w:sz w:val="24"/>
          <w:szCs w:val="24"/>
          <w14:textFill>
            <w14:solidFill>
              <w14:schemeClr w14:val="tx1"/>
            </w14:solidFill>
          </w14:textFill>
        </w:rPr>
        <w:t>如：卫生许可证、药品经营许可证、生产批件或新药证书等</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22、</w:t>
      </w:r>
      <w:r>
        <w:rPr>
          <w:rFonts w:hint="eastAsia" w:ascii="仿宋_GB2312" w:hAnsi="Segoe UI" w:eastAsia="仿宋_GB2312" w:cs="Segoe UI"/>
          <w:color w:val="000000" w:themeColor="text1"/>
          <w:spacing w:val="8"/>
          <w:kern w:val="0"/>
          <w:sz w:val="24"/>
          <w:szCs w:val="24"/>
          <w14:textFill>
            <w14:solidFill>
              <w14:schemeClr w14:val="tx1"/>
            </w14:solidFill>
          </w14:textFill>
        </w:rPr>
        <w:t>如有</w:t>
      </w:r>
      <w:r>
        <w:rPr>
          <w:rFonts w:hint="eastAsia" w:ascii="仿宋_GB2312" w:hAnsi="Segoe UI" w:eastAsia="仿宋_GB2312" w:cs="Segoe UI"/>
          <w:color w:val="000000" w:themeColor="text1"/>
          <w:spacing w:val="8"/>
          <w:kern w:val="0"/>
          <w:sz w:val="24"/>
          <w:szCs w:val="24"/>
          <w:lang w:eastAsia="zh-CN"/>
          <w14:textFill>
            <w14:solidFill>
              <w14:schemeClr w14:val="tx1"/>
            </w14:solidFill>
          </w14:textFill>
        </w:rPr>
        <w:t>，</w:t>
      </w:r>
      <w:r>
        <w:rPr>
          <w:rFonts w:hint="eastAsia" w:ascii="仿宋_GB2312" w:hAnsi="Segoe UI" w:eastAsia="仿宋_GB2312" w:cs="Segoe UI"/>
          <w:color w:val="000000" w:themeColor="text1"/>
          <w:spacing w:val="8"/>
          <w:kern w:val="0"/>
          <w:sz w:val="24"/>
          <w:szCs w:val="24"/>
          <w:lang w:val="en-US" w:eastAsia="zh-CN"/>
          <w14:textFill>
            <w14:solidFill>
              <w14:schemeClr w14:val="tx1"/>
            </w14:solidFill>
          </w14:textFill>
        </w:rPr>
        <w:t>提</w:t>
      </w:r>
      <w:r>
        <w:rPr>
          <w:rFonts w:hint="eastAsia" w:ascii="仿宋_GB2312" w:hAnsi="Segoe UI" w:eastAsia="仿宋_GB2312" w:cs="Segoe UI"/>
          <w:color w:val="000000" w:themeColor="text1"/>
          <w:kern w:val="0"/>
          <w:sz w:val="24"/>
          <w:szCs w:val="24"/>
          <w14:textFill>
            <w14:solidFill>
              <w14:schemeClr w14:val="tx1"/>
            </w14:solidFill>
          </w14:textFill>
        </w:rPr>
        <w:t>供集采平台挂网截图</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23、经办人</w:t>
      </w:r>
      <w:r>
        <w:rPr>
          <w:rFonts w:hint="eastAsia" w:ascii="仿宋_GB2312" w:hAnsi="Segoe UI" w:eastAsia="仿宋_GB2312" w:cs="Segoe UI"/>
          <w:color w:val="000000" w:themeColor="text1"/>
          <w:kern w:val="0"/>
          <w:sz w:val="24"/>
          <w:szCs w:val="24"/>
          <w14:textFill>
            <w14:solidFill>
              <w14:schemeClr w14:val="tx1"/>
            </w14:solidFill>
          </w14:textFill>
        </w:rPr>
        <w:t>社保缴纳证明</w:t>
      </w:r>
      <w:r>
        <w:rPr>
          <w:rFonts w:hint="eastAsia" w:ascii="仿宋_GB2312" w:hAnsi="Segoe UI" w:eastAsia="仿宋_GB2312" w:cs="Segoe UI"/>
          <w:color w:val="000000" w:themeColor="text1"/>
          <w:kern w:val="0"/>
          <w:sz w:val="24"/>
          <w:szCs w:val="24"/>
          <w:lang w:eastAsia="zh-CN"/>
          <w14:textFill>
            <w14:solidFill>
              <w14:schemeClr w14:val="tx1"/>
            </w14:solidFill>
          </w14:textFill>
        </w:rPr>
        <w:t>；</w:t>
      </w:r>
    </w:p>
    <w:p>
      <w:pPr>
        <w:widowControl/>
        <w:shd w:val="clear" w:color="auto"/>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4</w:t>
      </w:r>
      <w:r>
        <w:rPr>
          <w:rFonts w:hint="eastAsia" w:ascii="仿宋_GB2312" w:hAnsi="Segoe UI" w:eastAsia="仿宋_GB2312" w:cs="Segoe UI"/>
          <w:color w:val="000000" w:themeColor="text1"/>
          <w:kern w:val="0"/>
          <w:sz w:val="24"/>
          <w:szCs w:val="24"/>
          <w14:textFill>
            <w14:solidFill>
              <w14:schemeClr w14:val="tx1"/>
            </w14:solidFill>
          </w14:textFill>
        </w:rPr>
        <w:t>、</w:t>
      </w:r>
      <w:r>
        <w:rPr>
          <w:rFonts w:hint="eastAsia" w:ascii="仿宋_GB2312" w:hAnsi="Segoe UI" w:eastAsia="仿宋_GB2312" w:cs="Segoe UI"/>
          <w:color w:val="000000" w:themeColor="text1"/>
          <w:spacing w:val="8"/>
          <w:kern w:val="0"/>
          <w:sz w:val="24"/>
          <w:szCs w:val="24"/>
          <w14:textFill>
            <w14:solidFill>
              <w14:schemeClr w14:val="tx1"/>
            </w14:solidFill>
          </w14:textFill>
        </w:rPr>
        <w:t>封底。</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注：请务必按以上顺序装订资料，如有非中文资料，请同时提供中文翻译件。</w:t>
      </w:r>
    </w:p>
    <w:p>
      <w:pPr>
        <w:widowControl/>
        <w:shd w:val="clear"/>
        <w:jc w:val="left"/>
        <w:rPr>
          <w:rFonts w:ascii="仿宋_GB2312" w:hAnsi="Segoe UI" w:eastAsia="仿宋_GB2312" w:cs="Segoe UI"/>
          <w:b/>
          <w:bCs/>
          <w:color w:val="000000" w:themeColor="text1"/>
          <w:kern w:val="0"/>
          <w:sz w:val="28"/>
          <w:szCs w:val="2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br w:type="page"/>
      </w:r>
    </w:p>
    <w:p>
      <w:pPr>
        <w:widowControl/>
        <w:shd w:val="clear" w:color="auto"/>
        <w:wordWrap w:val="0"/>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附件4：主要表格格式</w:t>
      </w:r>
    </w:p>
    <w:p>
      <w:pPr>
        <w:widowControl/>
        <w:shd w:val="clear" w:color="auto"/>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pPr>
        <w:widowControl/>
        <w:shd w:val="clear" w:color="auto"/>
        <w:wordWrap w:val="0"/>
        <w:spacing w:line="40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14:textFill>
            <w14:solidFill>
              <w14:schemeClr w14:val="tx1"/>
            </w14:solidFill>
          </w14:textFill>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14:textFill>
            <w14:solidFill>
              <w14:schemeClr w14:val="tx1"/>
            </w14:solidFill>
          </w14:textFill>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14:textFill>
                  <w14:solidFill>
                    <w14:schemeClr w14:val="tx1"/>
                  </w14:solidFill>
                </w14:textFill>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14:textFill>
            <w14:solidFill>
              <w14:schemeClr w14:val="tx1"/>
            </w14:solidFill>
          </w14:textFill>
        </w:rPr>
      </w:pPr>
    </w:p>
    <w:p>
      <w:pPr>
        <w:widowControl/>
        <w:shd w:val="clear"/>
        <w:jc w:val="left"/>
        <w:rPr>
          <w:rFonts w:hint="eastAsia" w:ascii="仿宋_GB2312" w:hAnsi="Segoe UI" w:eastAsia="仿宋_GB2312" w:cs="Segoe UI"/>
          <w:color w:val="000000" w:themeColor="text1"/>
          <w:kern w:val="0"/>
          <w:sz w:val="22"/>
          <w14:textFill>
            <w14:solidFill>
              <w14:schemeClr w14:val="tx1"/>
            </w14:solidFill>
          </w14:textFill>
        </w:rPr>
      </w:pPr>
    </w:p>
    <w:p>
      <w:pPr>
        <w:widowControl/>
        <w:jc w:val="left"/>
        <w:rPr>
          <w:rFonts w:hint="eastAsia" w:ascii="仿宋_GB2312" w:hAnsi="Segoe UI" w:eastAsia="仿宋_GB2312" w:cs="Segoe UI"/>
          <w:color w:val="000000" w:themeColor="text1"/>
          <w:kern w:val="0"/>
          <w:sz w:val="22"/>
          <w14:textFill>
            <w14:solidFill>
              <w14:schemeClr w14:val="tx1"/>
            </w14:solidFill>
          </w14:textFill>
        </w:rPr>
      </w:pPr>
    </w:p>
    <w:p>
      <w:pPr>
        <w:widowControl/>
        <w:jc w:val="left"/>
        <w:rPr>
          <w:rFonts w:hint="eastAsia" w:ascii="仿宋_GB2312" w:hAnsi="Segoe UI" w:eastAsia="仿宋_GB2312" w:cs="Segoe UI"/>
          <w:color w:val="000000" w:themeColor="text1"/>
          <w:kern w:val="0"/>
          <w:sz w:val="22"/>
          <w14:textFill>
            <w14:solidFill>
              <w14:schemeClr w14:val="tx1"/>
            </w14:solidFill>
          </w14:textFill>
        </w:rPr>
      </w:pPr>
    </w:p>
    <w:p>
      <w:pPr>
        <w:widowControl/>
        <w:jc w:val="left"/>
        <w:rPr>
          <w:rFonts w:hint="eastAsia" w:ascii="仿宋_GB2312" w:hAnsi="Segoe UI" w:eastAsia="仿宋_GB2312" w:cs="Segoe UI"/>
          <w:color w:val="000000" w:themeColor="text1"/>
          <w:kern w:val="0"/>
          <w:sz w:val="22"/>
          <w14:textFill>
            <w14:solidFill>
              <w14:schemeClr w14:val="tx1"/>
            </w14:solidFill>
          </w14:textFill>
        </w:rPr>
      </w:pPr>
    </w:p>
    <w:p>
      <w:pPr>
        <w:widowControl/>
        <w:jc w:val="left"/>
        <w:rPr>
          <w:rFonts w:hint="eastAsia" w:ascii="仿宋_GB2312" w:hAnsi="Segoe UI" w:eastAsia="仿宋_GB2312" w:cs="Segoe UI"/>
          <w:color w:val="000000" w:themeColor="text1"/>
          <w:kern w:val="0"/>
          <w:sz w:val="22"/>
          <w14:textFill>
            <w14:solidFill>
              <w14:schemeClr w14:val="tx1"/>
            </w14:solidFill>
          </w14:textFill>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附件4-3：</w:t>
      </w:r>
    </w:p>
    <w:p>
      <w:pPr>
        <w:pStyle w:val="3"/>
        <w:tabs>
          <w:tab w:val="left" w:pos="720"/>
        </w:tabs>
        <w:spacing w:line="400" w:lineRule="exact"/>
        <w:jc w:val="center"/>
        <w:rPr>
          <w:rFonts w:ascii="仿宋" w:hAnsi="仿宋" w:eastAsia="仿宋" w:cs="仿宋"/>
        </w:rPr>
      </w:pPr>
      <w:bookmarkStart w:id="2" w:name="_Toc3414"/>
      <w:bookmarkStart w:id="3" w:name="_Toc9234"/>
      <w:bookmarkStart w:id="4" w:name="_Toc15614"/>
      <w:bookmarkStart w:id="5" w:name="_Toc21676"/>
      <w:bookmarkStart w:id="6" w:name="_Toc21163"/>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4802"/>
      <w:bookmarkStart w:id="8" w:name="_Toc12490"/>
      <w:bookmarkStart w:id="9" w:name="_Toc11076"/>
      <w:bookmarkStart w:id="10" w:name="_Toc30275"/>
      <w:bookmarkStart w:id="11" w:name="_Toc5208"/>
      <w:bookmarkStart w:id="12" w:name="_Toc5499"/>
      <w:bookmarkStart w:id="13" w:name="_Toc30494"/>
      <w:bookmarkStart w:id="14" w:name="_Toc60"/>
      <w:bookmarkStart w:id="15" w:name="_Toc10689"/>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10948"/>
      <w:bookmarkStart w:id="17" w:name="_Toc32214"/>
      <w:bookmarkStart w:id="18" w:name="_Toc28103"/>
      <w:bookmarkStart w:id="19" w:name="_Toc7067"/>
      <w:bookmarkStart w:id="20" w:name="_Toc10183"/>
      <w:bookmarkStart w:id="21" w:name="_Toc3081"/>
      <w:bookmarkStart w:id="22" w:name="_Toc9131"/>
      <w:bookmarkStart w:id="23" w:name="_Toc30724"/>
      <w:bookmarkStart w:id="24" w:name="_Toc26481"/>
      <w:bookmarkStart w:id="25" w:name="_Toc13021"/>
      <w:bookmarkStart w:id="26" w:name="_Toc3912"/>
      <w:bookmarkStart w:id="27" w:name="_Toc19115"/>
      <w:bookmarkStart w:id="28" w:name="_Toc8717"/>
      <w:bookmarkStart w:id="29" w:name="_Toc30080"/>
      <w:bookmarkStart w:id="30" w:name="_Toc3392"/>
      <w:bookmarkStart w:id="31" w:name="_Toc18879"/>
      <w:bookmarkStart w:id="32" w:name="_Toc18513"/>
      <w:bookmarkStart w:id="33" w:name="_Toc3447"/>
      <w:r>
        <w:rPr>
          <w:rFonts w:hint="eastAsia" w:ascii="仿宋_GB2312" w:hAnsi="Segoe UI" w:eastAsia="仿宋_GB2312" w:cs="Segoe UI"/>
          <w:color w:val="000000" w:themeColor="text1"/>
          <w:kern w:val="0"/>
          <w:sz w:val="22"/>
          <w14:textFill>
            <w14:solidFill>
              <w14:schemeClr w14:val="tx1"/>
            </w14:solidFill>
          </w14:textFill>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30649"/>
      <w:bookmarkStart w:id="35" w:name="_Toc10142"/>
      <w:bookmarkStart w:id="36" w:name="_Toc23645"/>
      <w:bookmarkStart w:id="37" w:name="_Toc18259"/>
      <w:bookmarkStart w:id="38" w:name="_Toc22795"/>
      <w:bookmarkStart w:id="39" w:name="_Toc7249"/>
      <w:bookmarkStart w:id="40" w:name="_Toc30920"/>
      <w:bookmarkStart w:id="41" w:name="_Toc15196"/>
      <w:bookmarkStart w:id="42" w:name="_Toc9042"/>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3004"/>
      <w:bookmarkStart w:id="46" w:name="_Toc19600"/>
      <w:bookmarkStart w:id="47" w:name="_Toc21988"/>
      <w:bookmarkStart w:id="48" w:name="_Toc25516"/>
      <w:bookmarkStart w:id="49" w:name="_Toc30083"/>
      <w:bookmarkStart w:id="50" w:name="_Toc4775"/>
      <w:bookmarkStart w:id="51" w:name="_Toc26548"/>
      <w:bookmarkStart w:id="52" w:name="_Toc24117"/>
      <w:bookmarkStart w:id="53" w:name="_Toc3534"/>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23192"/>
      <w:bookmarkStart w:id="55" w:name="_Toc16764"/>
      <w:bookmarkStart w:id="56" w:name="_Toc22198"/>
      <w:bookmarkStart w:id="57" w:name="_Toc32166"/>
      <w:bookmarkStart w:id="58" w:name="_Toc12333"/>
      <w:bookmarkStart w:id="59" w:name="_Toc16666"/>
      <w:bookmarkStart w:id="60" w:name="_Toc21982"/>
      <w:bookmarkStart w:id="61" w:name="_Toc691"/>
      <w:bookmarkStart w:id="62" w:name="_Toc14887"/>
      <w:bookmarkStart w:id="63" w:name="_Toc3494"/>
      <w:bookmarkStart w:id="64" w:name="_Toc27376"/>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11914"/>
      <w:bookmarkStart w:id="66" w:name="_Toc10013"/>
      <w:bookmarkStart w:id="67" w:name="_Toc22606"/>
      <w:bookmarkStart w:id="68" w:name="_Toc1371"/>
      <w:bookmarkStart w:id="69" w:name="_Toc5412"/>
      <w:bookmarkStart w:id="70" w:name="_Toc14269"/>
      <w:bookmarkStart w:id="71" w:name="_Toc31581"/>
      <w:bookmarkStart w:id="72" w:name="_Toc9263"/>
      <w:bookmarkStart w:id="73" w:name="_Toc25068"/>
      <w:bookmarkStart w:id="74" w:name="_Toc3943"/>
      <w:bookmarkStart w:id="75" w:name="_Toc4577"/>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3267"/>
      <w:bookmarkStart w:id="77" w:name="_Toc2316"/>
      <w:bookmarkStart w:id="78" w:name="_Toc17108"/>
      <w:bookmarkStart w:id="79" w:name="_Toc3908"/>
      <w:bookmarkStart w:id="80" w:name="_Toc11489"/>
      <w:bookmarkStart w:id="81" w:name="_Toc31890"/>
      <w:bookmarkStart w:id="82" w:name="_Toc10600"/>
      <w:bookmarkStart w:id="83" w:name="_Toc18935"/>
      <w:bookmarkStart w:id="84" w:name="_Toc13677"/>
      <w:bookmarkStart w:id="85" w:name="_Toc2937"/>
      <w:bookmarkStart w:id="86" w:name="_Toc29190"/>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12088"/>
      <w:bookmarkStart w:id="88" w:name="_Toc31638"/>
      <w:bookmarkStart w:id="89" w:name="_Toc14252"/>
      <w:bookmarkStart w:id="90" w:name="_Toc21351"/>
      <w:bookmarkStart w:id="91" w:name="_Toc32365"/>
      <w:bookmarkStart w:id="92" w:name="_Toc26756"/>
      <w:bookmarkStart w:id="93" w:name="_Toc15916"/>
      <w:bookmarkStart w:id="94" w:name="_Toc24122"/>
      <w:bookmarkStart w:id="95" w:name="_Toc1313"/>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23212"/>
      <w:bookmarkStart w:id="98" w:name="_Toc9398"/>
      <w:bookmarkStart w:id="99" w:name="_Toc10583"/>
      <w:bookmarkStart w:id="100" w:name="_Toc27948"/>
      <w:bookmarkStart w:id="101" w:name="_Toc26609"/>
      <w:bookmarkStart w:id="102" w:name="_Toc11278"/>
      <w:bookmarkStart w:id="103" w:name="_Toc22760"/>
      <w:bookmarkStart w:id="104" w:name="_Toc15083"/>
      <w:bookmarkStart w:id="105" w:name="_Toc19589"/>
      <w:bookmarkStart w:id="106" w:name="_Toc29215"/>
      <w:bookmarkStart w:id="107" w:name="_Toc18046"/>
      <w:bookmarkStart w:id="108" w:name="_Toc27985"/>
      <w:bookmarkStart w:id="109" w:name="_Toc15894"/>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27767"/>
      <w:bookmarkStart w:id="111" w:name="_Toc24671"/>
      <w:bookmarkStart w:id="112" w:name="_Toc17741"/>
      <w:bookmarkStart w:id="113" w:name="_Toc757"/>
      <w:bookmarkStart w:id="114" w:name="_Toc8083"/>
      <w:bookmarkStart w:id="115" w:name="_Toc17204"/>
      <w:bookmarkStart w:id="116" w:name="_Toc4116"/>
      <w:bookmarkStart w:id="117" w:name="_Toc29648"/>
      <w:bookmarkStart w:id="118" w:name="_Toc8348"/>
      <w:bookmarkStart w:id="119" w:name="_Toc24655"/>
      <w:bookmarkStart w:id="120" w:name="_Toc24107"/>
      <w:bookmarkStart w:id="121" w:name="_Toc8940"/>
      <w:bookmarkStart w:id="122" w:name="_Toc14546"/>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24280"/>
      <w:bookmarkStart w:id="124" w:name="_Toc14781"/>
      <w:bookmarkStart w:id="125" w:name="_Toc12682"/>
      <w:bookmarkStart w:id="126" w:name="_Toc5840"/>
      <w:bookmarkStart w:id="127" w:name="_Toc15917"/>
      <w:bookmarkStart w:id="128" w:name="_Toc10950"/>
      <w:bookmarkStart w:id="129" w:name="_Toc2003"/>
      <w:bookmarkStart w:id="130" w:name="_Toc22243"/>
      <w:bookmarkStart w:id="131" w:name="_Toc10308"/>
      <w:bookmarkStart w:id="132" w:name="_Toc20745"/>
      <w:bookmarkStart w:id="133" w:name="_Toc10945"/>
      <w:bookmarkStart w:id="134" w:name="_Toc8524"/>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14:textFill>
            <w14:solidFill>
              <w14:schemeClr w14:val="tx1"/>
            </w14:solidFill>
          </w14:textFill>
        </w:rPr>
      </w:pPr>
    </w:p>
    <w:p>
      <w:pPr>
        <w:widowControl/>
        <w:jc w:val="left"/>
        <w:rPr>
          <w:rFonts w:hint="eastAsia" w:ascii="仿宋_GB2312" w:hAnsi="Segoe UI" w:eastAsia="仿宋_GB2312" w:cs="Segoe UI"/>
          <w:color w:val="000000" w:themeColor="text1"/>
          <w:kern w:val="0"/>
          <w:sz w:val="22"/>
          <w14:textFill>
            <w14:solidFill>
              <w14:schemeClr w14:val="tx1"/>
            </w14:solidFill>
          </w14:textFill>
        </w:rPr>
      </w:pPr>
    </w:p>
    <w:p>
      <w:pPr>
        <w:widowControl/>
        <w:jc w:val="left"/>
        <w:rPr>
          <w:rFonts w:hint="eastAsia" w:ascii="仿宋_GB2312" w:hAnsi="Segoe UI" w:eastAsia="仿宋_GB2312" w:cs="Segoe UI"/>
          <w:color w:val="000000" w:themeColor="text1"/>
          <w:kern w:val="0"/>
          <w:sz w:val="22"/>
          <w14:textFill>
            <w14:solidFill>
              <w14:schemeClr w14:val="tx1"/>
            </w14:solidFill>
          </w14:textFill>
        </w:rPr>
      </w:pPr>
      <w:r>
        <w:rPr>
          <w:rFonts w:hint="eastAsia" w:ascii="仿宋_GB2312" w:hAnsi="Segoe UI" w:eastAsia="仿宋_GB2312" w:cs="Segoe UI"/>
          <w:color w:val="000000" w:themeColor="text1"/>
          <w:kern w:val="0"/>
          <w:sz w:val="22"/>
          <w14:textFill>
            <w14:solidFill>
              <w14:schemeClr w14:val="tx1"/>
            </w14:solidFill>
          </w14:textFill>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14:textFill>
            <w14:solidFill>
              <w14:schemeClr w14:val="tx1"/>
            </w14:solidFill>
          </w14:textFill>
        </w:rPr>
      </w:pPr>
    </w:p>
    <w:p>
      <w:pPr>
        <w:widowControl/>
        <w:shd w:val="clear" w:color="auto"/>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附件4-4：</w:t>
      </w:r>
    </w:p>
    <w:p>
      <w:pPr>
        <w:widowControl/>
        <w:shd w:val="clear" w:color="auto"/>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8"/>
          <w:szCs w:val="28"/>
          <w14:textFill>
            <w14:solidFill>
              <w14:schemeClr w14:val="tx1"/>
            </w14:solidFill>
          </w14:textFill>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14:textFill>
                  <w14:solidFill>
                    <w14:schemeClr w14:val="tx1"/>
                  </w14:solidFill>
                </w14:textFill>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pPr>
        <w:widowControl/>
        <w:shd w:val="clear" w:color="auto"/>
        <w:wordWrap w:val="0"/>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日期</w:t>
      </w:r>
      <w:r>
        <w:rPr>
          <w:rFonts w:hint="eastAsia" w:ascii="仿宋_GB2312" w:hAnsi="Segoe UI" w:eastAsia="仿宋_GB2312" w:cs="Segoe UI"/>
          <w:b/>
          <w:bCs/>
          <w:color w:val="000000" w:themeColor="text1"/>
          <w:kern w:val="0"/>
          <w:sz w:val="24"/>
          <w:szCs w:val="24"/>
          <w14:textFill>
            <w14:solidFill>
              <w14:schemeClr w14:val="tx1"/>
            </w14:solidFill>
          </w14:textFill>
        </w:rPr>
        <w:t>:</w:t>
      </w:r>
    </w:p>
    <w:p>
      <w:pPr>
        <w:widowControl/>
        <w:jc w:val="left"/>
        <w:rPr>
          <w:rFonts w:hint="eastAsia"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br w:type="page"/>
      </w:r>
    </w:p>
    <w:p>
      <w:pPr>
        <w:widowControl/>
        <w:jc w:val="left"/>
        <w:rPr>
          <w:rFonts w:ascii="仿宋_GB2312" w:hAnsi="Segoe UI" w:eastAsia="仿宋_GB2312" w:cs="Segoe UI"/>
          <w:b/>
          <w:bCs/>
          <w:color w:val="000000" w:themeColor="text1"/>
          <w:kern w:val="0"/>
          <w:sz w:val="24"/>
          <w:szCs w:val="24"/>
          <w14:textFill>
            <w14:solidFill>
              <w14:schemeClr w14:val="tx1"/>
            </w14:solidFill>
          </w14:textFill>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14:textFill>
            <w14:solidFill>
              <w14:schemeClr w14:val="tx1"/>
            </w14:solidFill>
          </w14:textFill>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14:textFill>
            <w14:solidFill>
              <w14:schemeClr w14:val="tx1"/>
            </w14:solidFill>
          </w14:textFill>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附件4-5：</w:t>
      </w:r>
    </w:p>
    <w:p>
      <w:pPr>
        <w:widowControl/>
        <w:shd w:val="clear" w:color="auto"/>
        <w:wordWrap w:val="0"/>
        <w:jc w:val="center"/>
        <w:rPr>
          <w:rFonts w:hint="eastAsia" w:ascii="黑体" w:hAnsi="黑体" w:eastAsia="黑体" w:cs="Segoe UI"/>
          <w:color w:val="000000" w:themeColor="text1"/>
          <w:kern w:val="0"/>
          <w:sz w:val="32"/>
          <w:szCs w:val="32"/>
          <w14:textFill>
            <w14:solidFill>
              <w14:schemeClr w14:val="tx1"/>
            </w14:solidFill>
          </w14:textFill>
        </w:rPr>
      </w:pPr>
      <w:r>
        <w:rPr>
          <w:rFonts w:hint="eastAsia" w:ascii="黑体" w:hAnsi="黑体" w:eastAsia="黑体" w:cs="Segoe UI"/>
          <w:color w:val="000000" w:themeColor="text1"/>
          <w:kern w:val="0"/>
          <w:sz w:val="32"/>
          <w:szCs w:val="32"/>
          <w14:textFill>
            <w14:solidFill>
              <w14:schemeClr w14:val="tx1"/>
            </w14:solidFill>
          </w14:textFill>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14:textFill>
                  <w14:solidFill>
                    <w14:schemeClr w14:val="tx1"/>
                  </w14:solidFill>
                </w14:textFill>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医疗器械注册证或备案凭证</w:t>
            </w: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ab/>
            </w:r>
            <w:r>
              <w:rPr>
                <w:rFonts w:hint="eastAsia" w:ascii="宋体" w:hAnsi="宋体" w:eastAsia="宋体" w:cs="Segoe UI"/>
                <w:color w:val="000000" w:themeColor="text1"/>
                <w:kern w:val="0"/>
                <w:sz w:val="24"/>
                <w:szCs w:val="24"/>
                <w14:textFill>
                  <w14:solidFill>
                    <w14:schemeClr w14:val="tx1"/>
                  </w14:solidFill>
                </w14:textFill>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14:textFill>
            <w14:solidFill>
              <w14:schemeClr w14:val="tx1"/>
            </w14:solidFill>
          </w14:textFill>
        </w:rPr>
      </w:pPr>
    </w:p>
    <w:p>
      <w:pPr>
        <w:widowControl/>
        <w:shd w:val="clear" w:color="auto"/>
        <w:wordWrap w:val="0"/>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4.“品目及报价表”需单独密封。</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5、如有配套耗材，请参照此表报价。</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供应商名称：（盖章）</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法定代表人或授权代表（签字）：日期：</w:t>
      </w:r>
    </w:p>
    <w:p>
      <w:pPr>
        <w:widowControl/>
        <w:shd w:val="clear"/>
        <w:jc w:val="left"/>
        <w:rPr>
          <w:rFonts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br w:type="page"/>
      </w:r>
    </w:p>
    <w:p>
      <w:pPr>
        <w:widowControl/>
        <w:jc w:val="left"/>
        <w:rPr>
          <w:rFonts w:ascii="仿宋_GB2312" w:hAnsi="Segoe UI" w:eastAsia="仿宋_GB2312" w:cs="Segoe UI"/>
          <w:b/>
          <w:bCs/>
          <w:color w:val="000000" w:themeColor="text1"/>
          <w:kern w:val="0"/>
          <w:sz w:val="24"/>
          <w:szCs w:val="24"/>
          <w14:textFill>
            <w14:solidFill>
              <w14:schemeClr w14:val="tx1"/>
            </w14:solidFill>
          </w14:textFill>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14:textFill>
            <w14:solidFill>
              <w14:schemeClr w14:val="tx1"/>
            </w14:solidFill>
          </w14:textFill>
        </w:rPr>
      </w:pPr>
    </w:p>
    <w:p>
      <w:pPr>
        <w:widowControl/>
        <w:shd w:val="clear" w:color="auto"/>
        <w:wordWrap w:val="0"/>
        <w:ind w:left="720" w:hanging="720"/>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附件4-6：</w:t>
      </w:r>
      <w:r>
        <w:rPr>
          <w:rFonts w:hint="eastAsia" w:ascii="黑体" w:hAnsi="黑体" w:eastAsia="黑体" w:cs="Segoe UI"/>
          <w:b/>
          <w:bCs/>
          <w:color w:val="000000" w:themeColor="text1"/>
          <w:kern w:val="0"/>
          <w:sz w:val="24"/>
          <w:szCs w:val="24"/>
          <w14:textFill>
            <w14:solidFill>
              <w14:schemeClr w14:val="tx1"/>
            </w14:solidFill>
          </w14:textFill>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（法定代表人姓名、职务）授权（被授权人姓名、职务）为我方</w:t>
      </w:r>
      <w:r>
        <w:rPr>
          <w:rFonts w:hint="eastAsia" w:ascii="仿宋_GB2312" w:hAnsi="Segoe UI" w:eastAsia="仿宋_GB2312" w:cs="Segoe UI"/>
          <w:color w:val="000000" w:themeColor="text1"/>
          <w:kern w:val="0"/>
          <w:sz w:val="24"/>
          <w:szCs w:val="24"/>
          <w:u w:val="single"/>
          <w14:textFill>
            <w14:solidFill>
              <w14:schemeClr w14:val="tx1"/>
            </w14:solidFill>
          </w14:textFill>
        </w:rPr>
        <w:t>“            ”</w:t>
      </w:r>
      <w:r>
        <w:rPr>
          <w:rFonts w:hint="eastAsia" w:ascii="仿宋_GB2312" w:hAnsi="Segoe UI" w:eastAsia="仿宋_GB2312" w:cs="Segoe UI"/>
          <w:color w:val="000000" w:themeColor="text1"/>
          <w:kern w:val="0"/>
          <w:sz w:val="24"/>
          <w:szCs w:val="24"/>
          <w14:textFill>
            <w14:solidFill>
              <w14:schemeClr w14:val="tx1"/>
            </w14:solidFill>
          </w14:textFill>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lang w:val="en-US" w:eastAsia="zh-CN"/>
          <w14:textFill>
            <w14:solidFill>
              <w14:schemeClr w14:val="tx1"/>
            </w14:solidFill>
          </w14:textFill>
        </w:rPr>
        <w:t>被</w:t>
      </w:r>
      <w:r>
        <w:rPr>
          <w:rFonts w:hint="eastAsia" w:ascii="仿宋_GB2312" w:hAnsi="Segoe UI" w:eastAsia="仿宋_GB2312" w:cs="Segoe UI"/>
          <w:color w:val="000000" w:themeColor="text1"/>
          <w:kern w:val="0"/>
          <w:sz w:val="24"/>
          <w:szCs w:val="24"/>
          <w14:textFill>
            <w14:solidFill>
              <w14:schemeClr w14:val="tx1"/>
            </w14:solidFill>
          </w14:textFill>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pPr>
        <w:widowControl/>
        <w:shd w:val="clear"/>
        <w:jc w:val="left"/>
        <w:rPr>
          <w:rFonts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14:textFill>
            <w14:solidFill>
              <w14:schemeClr w14:val="tx1"/>
            </w14:solidFill>
          </w14:textFill>
        </w:rPr>
      </w:pPr>
      <w:r>
        <w:rPr>
          <w:rFonts w:hint="eastAsia" w:ascii="宋体" w:hAnsi="宋体" w:eastAsia="宋体" w:cs="Segoe UI"/>
          <w:color w:val="000000" w:themeColor="text1"/>
          <w:kern w:val="0"/>
          <w:sz w:val="24"/>
          <w:szCs w:val="24"/>
          <w14:textFill>
            <w14:solidFill>
              <w14:schemeClr w14:val="tx1"/>
            </w14:solidFill>
          </w14:textFill>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Segoe UI" w:eastAsia="仿宋_GB2312" w:cs="Segoe UI"/>
          <w:color w:val="000000" w:themeColor="text1"/>
          <w:kern w:val="0"/>
          <w:sz w:val="24"/>
          <w:szCs w:val="24"/>
          <w14:textFill>
            <w14:solidFill>
              <w14:schemeClr w14:val="tx1"/>
            </w14:solidFill>
          </w14:textFill>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14:textFill>
            <w14:solidFill>
              <w14:schemeClr w14:val="tx1"/>
            </w14:solidFill>
          </w14:textFill>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14:textFill>
            <w14:solidFill>
              <w14:schemeClr w14:val="tx1"/>
            </w14:solidFill>
          </w14:textFill>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14:textFill>
            <w14:solidFill>
              <w14:schemeClr w14:val="tx1"/>
            </w14:solidFill>
          </w14:textFill>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14:textFill>
            <w14:solidFill>
              <w14:schemeClr w14:val="tx1"/>
            </w14:solidFill>
          </w14:textFill>
        </w:rPr>
      </w:pPr>
      <w:r>
        <w:rPr>
          <w:rFonts w:hint="eastAsia" w:ascii="仿宋_GB2312" w:hAnsi="Segoe UI" w:eastAsia="仿宋_GB2312" w:cs="Segoe UI"/>
          <w:b/>
          <w:bCs/>
          <w:color w:val="000000" w:themeColor="text1"/>
          <w:kern w:val="0"/>
          <w:sz w:val="24"/>
          <w:szCs w:val="24"/>
          <w14:textFill>
            <w14:solidFill>
              <w14:schemeClr w14:val="tx1"/>
            </w14:solidFill>
          </w14:textFill>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Segoe UI" w:eastAsia="仿宋_GB2312" w:cs="Segoe UI"/>
          <w:color w:val="000000" w:themeColor="text1"/>
          <w:kern w:val="0"/>
          <w:sz w:val="24"/>
          <w:szCs w:val="24"/>
          <w14:textFill>
            <w14:solidFill>
              <w14:schemeClr w14:val="tx1"/>
            </w14:solidFill>
          </w14:textFill>
        </w:rPr>
      </w:pPr>
      <w:r>
        <w:rPr>
          <w:rFonts w:hint="eastAsia" w:ascii="仿宋_GB2312" w:hAnsi="仿宋_GB2312" w:eastAsia="仿宋_GB2312" w:cs="仿宋_GB2312"/>
          <w:sz w:val="28"/>
          <w:szCs w:val="28"/>
        </w:rPr>
        <w:t>日期：   年    月    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3A337E"/>
    <w:multiLevelType w:val="singleLevel"/>
    <w:tmpl w:val="9A3A337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7394E"/>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22669F2"/>
    <w:rsid w:val="03865EFE"/>
    <w:rsid w:val="053A5330"/>
    <w:rsid w:val="07953CAB"/>
    <w:rsid w:val="07B925A7"/>
    <w:rsid w:val="0BF815CE"/>
    <w:rsid w:val="0E911C5D"/>
    <w:rsid w:val="10954EC2"/>
    <w:rsid w:val="12A81059"/>
    <w:rsid w:val="13485B4A"/>
    <w:rsid w:val="14456F80"/>
    <w:rsid w:val="195D2073"/>
    <w:rsid w:val="1A37043E"/>
    <w:rsid w:val="228C2840"/>
    <w:rsid w:val="26D9225C"/>
    <w:rsid w:val="272816FC"/>
    <w:rsid w:val="28203DA9"/>
    <w:rsid w:val="2A553BFF"/>
    <w:rsid w:val="2E811DD5"/>
    <w:rsid w:val="301D3019"/>
    <w:rsid w:val="357C4381"/>
    <w:rsid w:val="364F4E7F"/>
    <w:rsid w:val="365344A5"/>
    <w:rsid w:val="38BB478A"/>
    <w:rsid w:val="396510AC"/>
    <w:rsid w:val="3D6405AF"/>
    <w:rsid w:val="3ED3727D"/>
    <w:rsid w:val="405F3E1B"/>
    <w:rsid w:val="41EE0E8D"/>
    <w:rsid w:val="4669398D"/>
    <w:rsid w:val="48983A5D"/>
    <w:rsid w:val="4AE36A9A"/>
    <w:rsid w:val="4B7A520A"/>
    <w:rsid w:val="4C5E41EC"/>
    <w:rsid w:val="4D08058D"/>
    <w:rsid w:val="4EE10A0C"/>
    <w:rsid w:val="50DD7E64"/>
    <w:rsid w:val="51CB3FD0"/>
    <w:rsid w:val="53914C7E"/>
    <w:rsid w:val="5536063D"/>
    <w:rsid w:val="55F211D3"/>
    <w:rsid w:val="56183BA8"/>
    <w:rsid w:val="577B25E6"/>
    <w:rsid w:val="5C452678"/>
    <w:rsid w:val="5FEC0FA4"/>
    <w:rsid w:val="60795DD8"/>
    <w:rsid w:val="61DB5EE7"/>
    <w:rsid w:val="62FA0171"/>
    <w:rsid w:val="637366D0"/>
    <w:rsid w:val="63CE0266"/>
    <w:rsid w:val="63E72E68"/>
    <w:rsid w:val="64ED5044"/>
    <w:rsid w:val="651E31BB"/>
    <w:rsid w:val="65C660EF"/>
    <w:rsid w:val="65DA011F"/>
    <w:rsid w:val="66D20681"/>
    <w:rsid w:val="672843F4"/>
    <w:rsid w:val="6A052BEC"/>
    <w:rsid w:val="6A38583D"/>
    <w:rsid w:val="6B260475"/>
    <w:rsid w:val="6C0F1984"/>
    <w:rsid w:val="6CF82393"/>
    <w:rsid w:val="701306BF"/>
    <w:rsid w:val="710D63F2"/>
    <w:rsid w:val="716610EA"/>
    <w:rsid w:val="71D57369"/>
    <w:rsid w:val="73532077"/>
    <w:rsid w:val="75233D75"/>
    <w:rsid w:val="77490A08"/>
    <w:rsid w:val="78BA1DAC"/>
    <w:rsid w:val="799A6260"/>
    <w:rsid w:val="7C560E66"/>
    <w:rsid w:val="7DC155A5"/>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3</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Administrator</cp:lastModifiedBy>
  <dcterms:modified xsi:type="dcterms:W3CDTF">2024-04-09T08:38:51Z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