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  四川省妇女儿童医院</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lang w:val="en-US" w:eastAsia="zh-CN"/>
        </w:rPr>
        <w:t>电梯维保</w:t>
      </w:r>
      <w:r>
        <w:rPr>
          <w:rFonts w:hint="eastAsia" w:ascii="黑体" w:hAnsi="黑体" w:eastAsia="黑体" w:cs="黑体"/>
          <w:b/>
          <w:bCs w:val="0"/>
          <w:color w:val="auto"/>
          <w:sz w:val="32"/>
          <w:szCs w:val="32"/>
          <w:highlight w:val="none"/>
        </w:rPr>
        <w:t>采购项目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SCFY-HQ202403-002（磋）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center"/>
        <w:textAlignment w:val="auto"/>
        <w:rPr>
          <w:rFonts w:hint="eastAsia" w:ascii="黑体" w:hAnsi="黑体" w:eastAsia="黑体" w:cs="黑体"/>
          <w:b/>
          <w:bCs w:val="0"/>
          <w:color w:val="auto"/>
          <w:sz w:val="32"/>
          <w:szCs w:val="32"/>
          <w:highlight w:val="none"/>
          <w:lang w:eastAsia="zh-CN"/>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both"/>
        <w:rPr>
          <w:rFonts w:hint="eastAsia" w:ascii="仿宋_GB2312" w:hAnsi="仿宋_GB2312" w:eastAsia="仿宋_GB2312" w:cs="仿宋_GB2312"/>
          <w:color w:val="auto"/>
          <w:sz w:val="28"/>
          <w:szCs w:val="28"/>
          <w:highlight w:val="none"/>
          <w:lang w:val="en-US" w:eastAsia="zh-CN"/>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widowControl/>
        <w:suppressLineNumbers w:val="0"/>
        <w:kinsoku/>
        <w:wordWrap/>
        <w:overflowPunct/>
        <w:topLinePunct w:val="0"/>
        <w:autoSpaceDE/>
        <w:autoSpaceDN/>
        <w:bidi w:val="0"/>
        <w:spacing w:line="360" w:lineRule="auto"/>
        <w:jc w:val="left"/>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我院将召开“电梯维保采购项目”院内采购会议，会议由后勤保障部组织。届时，请投标人准时参加，务必提供公司资质文件（密封盖章）、采购投标文件（密封盖章）、报价一览表（密封盖章）等资料，具体事项如下：</w:t>
      </w:r>
    </w:p>
    <w:p>
      <w:pPr>
        <w:pStyle w:val="10"/>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firstLine="42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会议时间：</w:t>
      </w:r>
      <w:r>
        <w:rPr>
          <w:rFonts w:hint="eastAsia" w:ascii="宋体" w:hAnsi="宋体" w:cs="宋体"/>
          <w:b/>
          <w:bCs/>
          <w:i w:val="0"/>
          <w:iCs w:val="0"/>
          <w:caps w:val="0"/>
          <w:color w:val="auto"/>
          <w:spacing w:val="0"/>
          <w:sz w:val="24"/>
          <w:szCs w:val="24"/>
          <w:highlight w:val="none"/>
          <w:shd w:val="clear" w:color="auto" w:fill="FFFFFF"/>
          <w:lang w:eastAsia="zh-CN"/>
        </w:rPr>
        <w:t>2024年4月29日（星期一）上午9：00</w:t>
      </w:r>
    </w:p>
    <w:p>
      <w:pPr>
        <w:pStyle w:val="10"/>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0" w:leftChars="0" w:right="0" w:rightChars="0" w:firstLine="42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综合楼五楼小会议室</w:t>
      </w:r>
      <w:r>
        <w:rPr>
          <w:rFonts w:hint="eastAsia" w:ascii="宋体" w:hAnsi="宋体" w:eastAsia="宋体" w:cs="宋体"/>
          <w:b/>
          <w:bCs/>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rPr>
        <w:t xml:space="preserve">     </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竞争性磋商方式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后勤保障部及院外专家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w:t>
      </w:r>
      <w:r>
        <w:rPr>
          <w:rFonts w:hint="eastAsia" w:ascii="宋体" w:hAnsi="宋体" w:eastAsia="宋体" w:cs="宋体"/>
          <w:i w:val="0"/>
          <w:iCs w:val="0"/>
          <w:caps w:val="0"/>
          <w:color w:val="auto"/>
          <w:spacing w:val="0"/>
          <w:sz w:val="24"/>
          <w:szCs w:val="24"/>
          <w:highlight w:val="none"/>
          <w:shd w:val="clear" w:color="auto" w:fill="FFFFFF"/>
          <w:lang w:val="en-US" w:eastAsia="zh-CN"/>
        </w:rPr>
        <w:t>现场</w:t>
      </w:r>
      <w:r>
        <w:rPr>
          <w:rFonts w:hint="eastAsia" w:ascii="宋体" w:hAnsi="宋体" w:eastAsia="宋体" w:cs="宋体"/>
          <w:i w:val="0"/>
          <w:iCs w:val="0"/>
          <w:caps w:val="0"/>
          <w:color w:val="auto"/>
          <w:spacing w:val="0"/>
          <w:sz w:val="24"/>
          <w:szCs w:val="24"/>
          <w:highlight w:val="none"/>
          <w:shd w:val="clear" w:color="auto" w:fill="FFFFFF"/>
        </w:rPr>
        <w:t>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i w:val="0"/>
          <w:iCs w:val="0"/>
          <w:caps w:val="0"/>
          <w:color w:val="auto"/>
          <w:spacing w:val="0"/>
          <w:sz w:val="24"/>
          <w:szCs w:val="24"/>
          <w:highlight w:val="none"/>
          <w:shd w:val="clear" w:color="auto" w:fill="FFFFFF"/>
        </w:rPr>
        <w:t>4.2.3</w:t>
      </w:r>
      <w:r>
        <w:rPr>
          <w:rFonts w:hint="eastAsia" w:ascii="宋体" w:hAnsi="宋体" w:cs="宋体"/>
          <w:b/>
          <w:bCs/>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b/>
          <w:bCs/>
          <w:i w:val="0"/>
          <w:iCs w:val="0"/>
          <w:caps w:val="0"/>
          <w:color w:val="auto"/>
          <w:spacing w:val="0"/>
          <w:sz w:val="24"/>
          <w:szCs w:val="24"/>
          <w:highlight w:val="none"/>
          <w:shd w:val="clear" w:color="auto" w:fill="FFFFFF"/>
        </w:rPr>
        <w:t>具有国家质量技术监督部门颁发《中华人民共和国特种设备生产可证》电梯安装（含修理）A1或A2资质（V≥2.5m/s）（原件备查）</w:t>
      </w:r>
      <w:r>
        <w:rPr>
          <w:rFonts w:hint="eastAsia" w:ascii="宋体" w:hAnsi="宋体" w:eastAsia="宋体" w:cs="宋体"/>
          <w:b/>
          <w:bCs/>
          <w:color w:val="auto"/>
          <w:kern w:val="2"/>
          <w:sz w:val="24"/>
          <w:szCs w:val="24"/>
          <w:highlight w:val="none"/>
          <w:lang w:val="en-US" w:eastAsia="zh-CN" w:bidi="ar-SA"/>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4.2.4 </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w:t>
      </w:r>
      <w:r>
        <w:rPr>
          <w:rFonts w:hint="eastAsia" w:ascii="宋体" w:hAnsi="宋体" w:cs="宋体"/>
          <w:b w:val="0"/>
          <w:bCs w:val="0"/>
          <w:i w:val="0"/>
          <w:iCs w:val="0"/>
          <w:caps w:val="0"/>
          <w:color w:val="auto"/>
          <w:spacing w:val="0"/>
          <w:sz w:val="24"/>
          <w:szCs w:val="24"/>
          <w:highlight w:val="none"/>
          <w:shd w:val="clear" w:color="auto" w:fill="FFFFFF"/>
          <w:lang w:val="en-US" w:eastAsia="zh-CN"/>
        </w:rPr>
        <w:t>6</w:t>
      </w:r>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10"/>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报价要求：</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”（格式见附件</w:t>
      </w:r>
      <w:r>
        <w:rPr>
          <w:rFonts w:hint="eastAsia" w:ascii="宋体" w:hAnsi="宋体" w:eastAsia="宋体" w:cs="宋体"/>
          <w:i w:val="0"/>
          <w:iCs w:val="0"/>
          <w:caps w:val="0"/>
          <w:color w:val="auto"/>
          <w:spacing w:val="0"/>
          <w:sz w:val="24"/>
          <w:szCs w:val="24"/>
          <w:highlight w:val="none"/>
          <w:shd w:val="clear" w:color="auto" w:fill="FFFFFF"/>
          <w:lang w:val="en-US" w:eastAsia="zh-CN"/>
        </w:rPr>
        <w:t>2-1</w:t>
      </w:r>
      <w:r>
        <w:rPr>
          <w:rFonts w:hint="eastAsia" w:ascii="宋体" w:hAnsi="宋体" w:eastAsia="宋体" w:cs="宋体"/>
          <w:i w:val="0"/>
          <w:iCs w:val="0"/>
          <w:caps w:val="0"/>
          <w:color w:val="auto"/>
          <w:spacing w:val="0"/>
          <w:sz w:val="24"/>
          <w:szCs w:val="24"/>
          <w:highlight w:val="none"/>
          <w:shd w:val="clear" w:color="auto" w:fill="FFFFFF"/>
        </w:rPr>
        <w:t xml:space="preserve">）的格式填写; </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eastAsia="宋体" w:cs="宋体"/>
          <w:i w:val="0"/>
          <w:iCs w:val="0"/>
          <w:caps w:val="0"/>
          <w:color w:val="auto"/>
          <w:spacing w:val="0"/>
          <w:sz w:val="24"/>
          <w:szCs w:val="24"/>
          <w:highlight w:val="none"/>
          <w:shd w:val="clear" w:color="auto" w:fill="FFFFFF"/>
          <w:lang w:val="en-US" w:eastAsia="zh-CN"/>
        </w:rPr>
        <w:t>进度</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拟参会供应商需于</w:t>
      </w:r>
      <w:r>
        <w:rPr>
          <w:rFonts w:hint="eastAsia" w:ascii="宋体" w:hAnsi="宋体" w:cs="宋体"/>
          <w:i w:val="0"/>
          <w:iCs w:val="0"/>
          <w:caps w:val="0"/>
          <w:color w:val="auto"/>
          <w:spacing w:val="0"/>
          <w:sz w:val="24"/>
          <w:szCs w:val="24"/>
          <w:highlight w:val="none"/>
          <w:shd w:val="clear" w:color="auto" w:fill="FFFFFF"/>
          <w:lang w:eastAsia="zh-CN"/>
        </w:rPr>
        <w:t>2024年4月29日（星期一）上午9：00</w:t>
      </w:r>
      <w:r>
        <w:rPr>
          <w:rFonts w:hint="eastAsia" w:ascii="宋体" w:hAnsi="宋体" w:eastAsia="宋体" w:cs="宋体"/>
          <w:i w:val="0"/>
          <w:iCs w:val="0"/>
          <w:caps w:val="0"/>
          <w:color w:val="auto"/>
          <w:spacing w:val="0"/>
          <w:sz w:val="24"/>
          <w:szCs w:val="24"/>
          <w:highlight w:val="none"/>
          <w:shd w:val="clear" w:color="auto" w:fill="FFFFFF"/>
        </w:rPr>
        <w:t>前提供</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4.2.1-4.2.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条要求的资质证明文件，进行资格审查。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i w:val="0"/>
          <w:iCs w:val="0"/>
          <w:caps w:val="0"/>
          <w:color w:val="auto"/>
          <w:spacing w:val="0"/>
          <w:sz w:val="24"/>
          <w:szCs w:val="24"/>
          <w:highlight w:val="none"/>
          <w:shd w:val="clear" w:color="auto" w:fill="FFFFFF"/>
          <w:lang w:eastAsia="zh-CN"/>
        </w:rPr>
        <w:t>2024年4月29日（星期一）上午9：00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采购资质文件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i w:val="0"/>
          <w:iCs w:val="0"/>
          <w:caps w:val="0"/>
          <w:color w:val="auto"/>
          <w:spacing w:val="0"/>
          <w:sz w:val="24"/>
          <w:szCs w:val="24"/>
          <w:highlight w:val="none"/>
          <w:shd w:val="clear" w:color="auto" w:fill="FFFFFF"/>
          <w:lang w:eastAsia="zh-CN"/>
        </w:rPr>
        <w:t>2024年4月29日（星期一）上午9：00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9.其它说明：</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投标文件装订顺序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r>
        <w:rPr>
          <w:rFonts w:hint="eastAsia" w:ascii="宋体" w:hAnsi="宋体" w:cs="宋体"/>
          <w:i w:val="0"/>
          <w:iCs w:val="0"/>
          <w:caps w:val="0"/>
          <w:color w:val="auto"/>
          <w:spacing w:val="0"/>
          <w:sz w:val="24"/>
          <w:szCs w:val="24"/>
          <w:highlight w:val="none"/>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eastAsia="宋体" w:cs="宋体"/>
          <w:sz w:val="24"/>
          <w:szCs w:val="24"/>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赵</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65978</w:t>
      </w:r>
      <w:r>
        <w:rPr>
          <w:rFonts w:hint="eastAsia" w:ascii="宋体" w:hAnsi="宋体" w:cs="宋体"/>
          <w:i w:val="0"/>
          <w:iCs w:val="0"/>
          <w:caps w:val="0"/>
          <w:color w:val="auto"/>
          <w:spacing w:val="0"/>
          <w:sz w:val="24"/>
          <w:szCs w:val="24"/>
          <w:highlight w:val="none"/>
          <w:shd w:val="clear" w:color="auto" w:fill="FFFFFF"/>
          <w:lang w:val="en-US" w:eastAsia="zh-CN"/>
        </w:rPr>
        <w:t>223</w:t>
      </w:r>
      <w:r>
        <w:rPr>
          <w:rFonts w:hint="eastAsia" w:ascii="宋体" w:hAnsi="宋体" w:eastAsia="宋体" w:cs="宋体"/>
          <w:i w:val="0"/>
          <w:iCs w:val="0"/>
          <w:caps w:val="0"/>
          <w:color w:val="auto"/>
          <w:spacing w:val="0"/>
          <w:sz w:val="24"/>
          <w:szCs w:val="24"/>
          <w:highlight w:val="none"/>
          <w:shd w:val="clear" w:color="auto" w:fill="FFFFFF"/>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eastAsia="宋体" w:cs="宋体"/>
          <w:i w:val="0"/>
          <w:iCs w:val="0"/>
          <w:caps w:val="0"/>
          <w:color w:val="auto"/>
          <w:spacing w:val="0"/>
          <w:sz w:val="24"/>
          <w:szCs w:val="24"/>
          <w:highlight w:val="none"/>
          <w:shd w:val="clear" w:color="auto" w:fill="FFFFFF"/>
          <w:lang w:val="en-US" w:eastAsia="zh-CN"/>
        </w:rPr>
        <w:t>罗</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eastAsia="宋体" w:cs="宋体"/>
          <w:i w:val="0"/>
          <w:iCs w:val="0"/>
          <w:caps w:val="0"/>
          <w:color w:val="auto"/>
          <w:spacing w:val="0"/>
          <w:sz w:val="24"/>
          <w:szCs w:val="24"/>
          <w:highlight w:val="none"/>
          <w:shd w:val="clear" w:color="auto" w:fill="FFFFFF"/>
          <w:lang w:val="en-US" w:eastAsia="zh-CN"/>
        </w:rPr>
        <w:t>38</w:t>
      </w:r>
      <w:r>
        <w:rPr>
          <w:rFonts w:hint="eastAsia" w:ascii="宋体" w:hAnsi="宋体" w:eastAsia="宋体" w:cs="宋体"/>
          <w:i w:val="0"/>
          <w:iCs w:val="0"/>
          <w:caps w:val="0"/>
          <w:color w:val="auto"/>
          <w:spacing w:val="0"/>
          <w:sz w:val="24"/>
          <w:szCs w:val="24"/>
          <w:highlight w:val="none"/>
          <w:shd w:val="clear" w:color="auto" w:fill="FFFFFF"/>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采购投标文件装订顺序</w:t>
      </w:r>
    </w:p>
    <w:p>
      <w:pPr>
        <w:keepNext w:val="0"/>
        <w:keepLines w:val="0"/>
        <w:pageBreakBefore w:val="0"/>
        <w:widowControl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反商业贿赂承诺书</w:t>
      </w:r>
    </w:p>
    <w:p>
      <w:pPr>
        <w:pStyle w:val="2"/>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pageBreakBefore w:val="0"/>
        <w:kinsoku/>
        <w:wordWrap/>
        <w:overflowPunct/>
        <w:topLinePunct w:val="0"/>
        <w:autoSpaceDE/>
        <w:autoSpaceDN/>
        <w:bidi w:val="0"/>
        <w:spacing w:line="360" w:lineRule="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其它附件：</w:t>
      </w:r>
    </w:p>
    <w:p>
      <w:pPr>
        <w:pStyle w:val="2"/>
        <w:pageBreakBefore w:val="0"/>
        <w:kinsoku/>
        <w:wordWrap/>
        <w:overflowPunct/>
        <w:topLinePunct w:val="0"/>
        <w:autoSpaceDE/>
        <w:autoSpaceDN/>
        <w:bidi w:val="0"/>
        <w:spacing w:line="360" w:lineRule="auto"/>
        <w:rPr>
          <w:rFonts w:hint="eastAsia" w:ascii="宋体" w:hAnsi="宋体" w:cs="宋体"/>
          <w:color w:val="auto"/>
          <w:sz w:val="24"/>
          <w:szCs w:val="24"/>
          <w:highlight w:val="none"/>
          <w:lang w:val="en-US" w:eastAsia="zh-CN"/>
        </w:rPr>
      </w:pPr>
    </w:p>
    <w:p>
      <w:pPr>
        <w:pageBreakBefore w:val="0"/>
        <w:kinsoku/>
        <w:wordWrap/>
        <w:overflowPunct/>
        <w:topLinePunct w:val="0"/>
        <w:autoSpaceDE/>
        <w:autoSpaceDN/>
        <w:bidi w:val="0"/>
        <w:spacing w:line="360" w:lineRule="auto"/>
        <w:rPr>
          <w:rFonts w:hint="default"/>
          <w:lang w:val="en-US" w:eastAsia="zh-CN"/>
        </w:rPr>
      </w:pPr>
      <w:r>
        <w:rPr>
          <w:rFonts w:hint="eastAsia" w:ascii="宋体" w:hAnsi="宋体" w:cs="宋体"/>
          <w:color w:val="auto"/>
          <w:sz w:val="24"/>
          <w:szCs w:val="24"/>
          <w:highlight w:val="none"/>
          <w:lang w:val="en-US" w:eastAsia="zh-CN"/>
        </w:rPr>
        <w:t>现有电梯设备明细。</w:t>
      </w: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i w:val="0"/>
          <w:caps w:val="0"/>
          <w:color w:val="555555"/>
          <w:spacing w:val="0"/>
          <w:sz w:val="24"/>
          <w:szCs w:val="24"/>
          <w:shd w:val="clear" w:color="auto" w:fill="FFFFFF"/>
          <w:lang w:val="en-US" w:eastAsia="zh-CN"/>
        </w:rPr>
        <w:t>附件1：采购</w:t>
      </w:r>
      <w:r>
        <w:rPr>
          <w:rFonts w:hint="eastAsia" w:ascii="宋体" w:hAnsi="宋体" w:eastAsia="宋体" w:cs="宋体"/>
          <w:b/>
          <w:bCs/>
          <w:i w:val="0"/>
          <w:caps w:val="0"/>
          <w:color w:val="555555"/>
          <w:spacing w:val="0"/>
          <w:sz w:val="24"/>
          <w:szCs w:val="24"/>
          <w:shd w:val="clear" w:color="auto" w:fill="FFFFFF"/>
        </w:rPr>
        <w:t>需求</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p>
      <w:pPr>
        <w:pStyle w:val="10"/>
        <w:keepNext w:val="0"/>
        <w:keepLines w:val="0"/>
        <w:pageBreakBefore w:val="0"/>
        <w:widowControl/>
        <w:suppressLineNumbers w:val="0"/>
        <w:kinsoku/>
        <w:wordWrap/>
        <w:overflowPunct/>
        <w:topLinePunct w:val="0"/>
        <w:autoSpaceDE/>
        <w:autoSpaceDN/>
        <w:bidi w:val="0"/>
        <w:adjustRightInd/>
        <w:snapToGrid/>
        <w:spacing w:line="360" w:lineRule="auto"/>
        <w:ind w:left="0" w:firstLine="0"/>
        <w:rPr>
          <w:rFonts w:hint="eastAsia" w:ascii="宋体" w:hAnsi="宋体" w:eastAsia="宋体" w:cs="宋体"/>
          <w:b/>
          <w:bCs/>
          <w:i w:val="0"/>
          <w:caps w:val="0"/>
          <w:color w:val="000000"/>
          <w:spacing w:val="0"/>
          <w:sz w:val="24"/>
          <w:szCs w:val="24"/>
        </w:rPr>
      </w:pPr>
      <w:r>
        <w:rPr>
          <w:rFonts w:hint="eastAsia" w:ascii="宋体" w:hAnsi="宋体" w:eastAsia="宋体" w:cs="宋体"/>
          <w:b/>
          <w:bCs/>
          <w:i w:val="0"/>
          <w:caps w:val="0"/>
          <w:color w:val="000000"/>
          <w:spacing w:val="0"/>
          <w:sz w:val="24"/>
          <w:szCs w:val="24"/>
        </w:rPr>
        <w:t>一、</w:t>
      </w:r>
      <w:r>
        <w:rPr>
          <w:rFonts w:hint="eastAsia" w:ascii="宋体" w:hAnsi="宋体" w:eastAsia="宋体" w:cs="宋体"/>
          <w:b/>
          <w:bCs/>
          <w:i w:val="0"/>
          <w:caps w:val="0"/>
          <w:color w:val="000000"/>
          <w:spacing w:val="0"/>
          <w:sz w:val="24"/>
          <w:szCs w:val="24"/>
          <w:lang w:val="en-US" w:eastAsia="zh-CN"/>
        </w:rPr>
        <w:t>项目</w:t>
      </w:r>
      <w:r>
        <w:rPr>
          <w:rFonts w:hint="eastAsia" w:ascii="宋体" w:hAnsi="宋体" w:eastAsia="宋体" w:cs="宋体"/>
          <w:b/>
          <w:bCs/>
          <w:i w:val="0"/>
          <w:caps w:val="0"/>
          <w:color w:val="000000"/>
          <w:spacing w:val="0"/>
          <w:sz w:val="24"/>
          <w:szCs w:val="24"/>
        </w:rPr>
        <w:t>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一、项目概况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1.项目名称：四川省妇幼保健院电梯维保项目</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2.项目位置：成都市武侯区沙堰西二街290号、成都市金牛区抚琴西路338号。</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二、四川省妇幼保健院电梯维保要求</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（一）四川省妇幼保健院电梯维保工程清单</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电梯维护保养工程量：升降电梯2</w:t>
      </w:r>
      <w:r>
        <w:rPr>
          <w:rFonts w:hint="eastAsia" w:ascii="宋体" w:hAnsi="宋体" w:eastAsia="宋体" w:cs="宋体"/>
          <w:b w:val="0"/>
          <w:i w:val="0"/>
          <w:caps w:val="0"/>
          <w:spacing w:val="0"/>
          <w:w w:val="100"/>
          <w:sz w:val="24"/>
          <w:szCs w:val="24"/>
          <w:highlight w:val="none"/>
          <w:lang w:val="en-US" w:eastAsia="zh-CN"/>
        </w:rPr>
        <w:t>4</w:t>
      </w:r>
      <w:r>
        <w:rPr>
          <w:rFonts w:hint="eastAsia" w:ascii="宋体" w:hAnsi="宋体" w:eastAsia="宋体" w:cs="宋体"/>
          <w:b w:val="0"/>
          <w:i w:val="0"/>
          <w:caps w:val="0"/>
          <w:spacing w:val="0"/>
          <w:w w:val="100"/>
          <w:sz w:val="24"/>
          <w:szCs w:val="24"/>
          <w:highlight w:val="none"/>
        </w:rPr>
        <w:t>台（含物流电梯2台）</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rPr>
        <w:t>扶手电梯6台。其中：</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1#楼4台升降梯、6台扶手电梯；</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2#楼升降电梯2台；</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3#楼升降电梯1台；</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4#楼升降电梯1台；</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5#楼物流电梯2台升降梯11台；</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抚琴院区升降电梯1台。</w:t>
      </w:r>
    </w:p>
    <w:p>
      <w:pPr>
        <w:pStyle w:val="2"/>
        <w:keepNext w:val="0"/>
        <w:keepLines w:val="0"/>
        <w:pageBreakBefore w:val="0"/>
        <w:kinsoku/>
        <w:wordWrap/>
        <w:overflowPunct/>
        <w:topLinePunct w:val="0"/>
        <w:autoSpaceDE/>
        <w:autoSpaceDN/>
        <w:bidi w:val="0"/>
        <w:adjustRightInd/>
        <w:spacing w:line="360" w:lineRule="auto"/>
        <w:ind w:firstLine="240" w:firstLineChars="100"/>
        <w:rPr>
          <w:rFonts w:hint="eastAsia" w:ascii="宋体" w:hAnsi="宋体" w:eastAsia="宋体" w:cs="宋体"/>
          <w:sz w:val="24"/>
          <w:szCs w:val="24"/>
          <w:highlight w:val="none"/>
          <w:lang w:val="en-US" w:eastAsia="zh-CN"/>
        </w:rPr>
      </w:pP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7</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发热门诊升降电梯2台</w:t>
      </w:r>
    </w:p>
    <w:p>
      <w:pPr>
        <w:keepNext w:val="0"/>
        <w:keepLines w:val="0"/>
        <w:pageBreakBefore w:val="0"/>
        <w:numPr>
          <w:ilvl w:val="0"/>
          <w:numId w:val="0"/>
        </w:numPr>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lang w:eastAsia="zh-CN"/>
        </w:rPr>
      </w:pPr>
    </w:p>
    <w:p>
      <w:pPr>
        <w:keepNext w:val="0"/>
        <w:keepLines w:val="0"/>
        <w:pageBreakBefore w:val="0"/>
        <w:numPr>
          <w:ilvl w:val="0"/>
          <w:numId w:val="0"/>
        </w:numPr>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lang w:val="en-US" w:eastAsia="zh-CN"/>
        </w:rPr>
        <w:t>（二）</w:t>
      </w:r>
      <w:r>
        <w:rPr>
          <w:rFonts w:hint="eastAsia" w:ascii="宋体" w:hAnsi="宋体" w:eastAsia="宋体" w:cs="宋体"/>
          <w:b w:val="0"/>
          <w:i w:val="0"/>
          <w:caps w:val="0"/>
          <w:spacing w:val="0"/>
          <w:w w:val="100"/>
          <w:sz w:val="24"/>
          <w:szCs w:val="24"/>
          <w:highlight w:val="none"/>
        </w:rPr>
        <w:t>本项目为</w:t>
      </w:r>
      <w:r>
        <w:rPr>
          <w:rFonts w:hint="eastAsia" w:ascii="宋体" w:hAnsi="宋体" w:eastAsia="宋体" w:cs="宋体"/>
          <w:b w:val="0"/>
          <w:i w:val="0"/>
          <w:caps w:val="0"/>
          <w:spacing w:val="0"/>
          <w:w w:val="100"/>
          <w:sz w:val="24"/>
          <w:szCs w:val="24"/>
          <w:highlight w:val="none"/>
          <w:lang w:val="en-US" w:eastAsia="zh-CN"/>
        </w:rPr>
        <w:t>维保价为全包价（包所有配件费用）且要求维保单位我院所有电梯配件需要备货处理，包括</w:t>
      </w:r>
      <w:r>
        <w:rPr>
          <w:rFonts w:hint="eastAsia" w:ascii="宋体" w:hAnsi="宋体" w:eastAsia="宋体" w:cs="宋体"/>
          <w:b w:val="0"/>
          <w:i w:val="0"/>
          <w:caps w:val="0"/>
          <w:color w:val="FF0000"/>
          <w:spacing w:val="0"/>
          <w:w w:val="100"/>
          <w:sz w:val="24"/>
          <w:szCs w:val="24"/>
          <w:highlight w:val="none"/>
          <w:lang w:val="en-US" w:eastAsia="zh-CN"/>
        </w:rPr>
        <w:t>电梯年度检测费用</w:t>
      </w:r>
      <w:r>
        <w:rPr>
          <w:rFonts w:hint="eastAsia" w:ascii="宋体" w:hAnsi="宋体" w:eastAsia="宋体" w:cs="宋体"/>
          <w:b w:val="0"/>
          <w:i w:val="0"/>
          <w:caps w:val="0"/>
          <w:spacing w:val="0"/>
          <w:w w:val="100"/>
          <w:sz w:val="24"/>
          <w:szCs w:val="24"/>
          <w:highlight w:val="none"/>
          <w:lang w:val="en-US" w:eastAsia="zh-CN"/>
        </w:rPr>
        <w:t>。项目最高限价为人民币490000元。</w:t>
      </w:r>
      <w:r>
        <w:rPr>
          <w:rFonts w:hint="eastAsia" w:ascii="宋体" w:hAnsi="宋体" w:eastAsia="宋体" w:cs="宋体"/>
          <w:b w:val="0"/>
          <w:i w:val="0"/>
          <w:caps w:val="0"/>
          <w:spacing w:val="0"/>
          <w:w w:val="100"/>
          <w:sz w:val="24"/>
          <w:szCs w:val="24"/>
          <w:highlight w:val="none"/>
        </w:rPr>
        <w:t>附件内容作为本项目的</w:t>
      </w:r>
      <w:r>
        <w:rPr>
          <w:rFonts w:hint="eastAsia" w:ascii="宋体" w:hAnsi="宋体" w:cs="宋体"/>
          <w:b w:val="0"/>
          <w:i w:val="0"/>
          <w:caps w:val="0"/>
          <w:spacing w:val="0"/>
          <w:w w:val="100"/>
          <w:sz w:val="24"/>
          <w:szCs w:val="24"/>
          <w:highlight w:val="none"/>
          <w:lang w:val="en-US" w:eastAsia="zh-CN"/>
        </w:rPr>
        <w:t>评审</w:t>
      </w:r>
      <w:r>
        <w:rPr>
          <w:rFonts w:hint="eastAsia" w:ascii="宋体" w:hAnsi="宋体" w:eastAsia="宋体" w:cs="宋体"/>
          <w:b w:val="0"/>
          <w:i w:val="0"/>
          <w:caps w:val="0"/>
          <w:spacing w:val="0"/>
          <w:w w:val="100"/>
          <w:sz w:val="24"/>
          <w:szCs w:val="24"/>
          <w:highlight w:val="none"/>
        </w:rPr>
        <w:t>依据，包含但不限于上述内容，如有遗漏请自行考虑。</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（三）单位要求</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1、参与投标的投标人必须具有独立法人资格，营业执照、税务登记证、组织机构代码证（副本）或（三证合一）。</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2、具有国家质量技术监督部门颁发《中华人民共和国特种设备生产可证》电梯安装（含修理）A1或A2资质（V≥2.5m/s）（原件备查）。</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3、零部件供应保证：有专用库房，常年备有易损部件。</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4、证明具有良好的商业信誉和健全的财务会计制度的第三方审计报告，如第三方的企业信用等级证书、审计报告等；</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5、证明有切实有效的科学管理体系的证明文件。</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6、服务良好的第三方证明文件，如满意度等级、服务星级证书。</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7、具有履行合同所必须的设备和专业技术能力；如计量工具、仪器的检验证明、专业技能人才等。</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8、参加本次政府采购活动前三年内，在经营活动中没有重大违法违规记录：</w:t>
      </w:r>
    </w:p>
    <w:p>
      <w:pPr>
        <w:pStyle w:val="2"/>
        <w:keepNext w:val="0"/>
        <w:keepLines w:val="0"/>
        <w:pageBreakBefore w:val="0"/>
        <w:kinsoku/>
        <w:wordWrap/>
        <w:overflowPunct/>
        <w:topLinePunct w:val="0"/>
        <w:autoSpaceDE/>
        <w:autoSpaceDN/>
        <w:bidi w:val="0"/>
        <w:adjustRightIn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b w:val="0"/>
          <w:i w:val="0"/>
          <w:caps w:val="0"/>
          <w:spacing w:val="0"/>
          <w:w w:val="100"/>
          <w:sz w:val="24"/>
          <w:szCs w:val="24"/>
          <w:highlight w:val="none"/>
          <w:lang w:val="en-US" w:eastAsia="zh-CN"/>
        </w:rPr>
        <w:t>9、其它见正文。</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337" w:firstLineChars="1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三、项目维保要求</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1.保证电梯安全运行。</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2.在保证电梯安全运行的前提下满足正常工作的需要。</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3.在保证电梯安全运行的前提下降低电梯维护保养成本。</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4.日常维护保养应遵守的标准：</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（1）中华人民共和国特种设备安全法</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（2）电梯使用管理与维修保养规则TSG T5001-2009</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（3）电梯维修规范GB/T  18775-2009</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（4）电梯维护保养规范 </w:t>
      </w:r>
      <w:r>
        <w:rPr>
          <w:rFonts w:hint="eastAsia" w:ascii="宋体" w:hAnsi="宋体" w:eastAsia="宋体" w:cs="宋体"/>
          <w:b w:val="0"/>
          <w:i w:val="0"/>
          <w:caps w:val="0"/>
          <w:spacing w:val="0"/>
          <w:w w:val="100"/>
          <w:sz w:val="24"/>
          <w:szCs w:val="24"/>
          <w:highlight w:val="none"/>
        </w:rPr>
        <w:fldChar w:fldCharType="begin"/>
      </w:r>
      <w:r>
        <w:rPr>
          <w:rFonts w:hint="eastAsia" w:ascii="宋体" w:hAnsi="宋体" w:eastAsia="宋体" w:cs="宋体"/>
          <w:b w:val="0"/>
          <w:i w:val="0"/>
          <w:caps w:val="0"/>
          <w:spacing w:val="0"/>
          <w:w w:val="100"/>
          <w:sz w:val="24"/>
          <w:szCs w:val="24"/>
          <w:highlight w:val="none"/>
        </w:rPr>
        <w:instrText xml:space="preserve"> HYPERLINK "javascript:viewDetailSubmit(document.forms[0],792526,'DB11/%20418-2007')" </w:instrText>
      </w:r>
      <w:r>
        <w:rPr>
          <w:rFonts w:hint="eastAsia" w:ascii="宋体" w:hAnsi="宋体" w:eastAsia="宋体" w:cs="宋体"/>
          <w:b w:val="0"/>
          <w:i w:val="0"/>
          <w:caps w:val="0"/>
          <w:spacing w:val="0"/>
          <w:w w:val="100"/>
          <w:sz w:val="24"/>
          <w:szCs w:val="24"/>
          <w:highlight w:val="none"/>
        </w:rPr>
        <w:fldChar w:fldCharType="separate"/>
      </w:r>
      <w:r>
        <w:rPr>
          <w:rFonts w:hint="eastAsia" w:ascii="宋体" w:hAnsi="宋体" w:eastAsia="宋体" w:cs="宋体"/>
          <w:b w:val="0"/>
          <w:i w:val="0"/>
          <w:caps w:val="0"/>
          <w:spacing w:val="0"/>
          <w:w w:val="100"/>
          <w:sz w:val="24"/>
          <w:szCs w:val="24"/>
          <w:highlight w:val="none"/>
        </w:rPr>
        <w:t>DB51/T 2239-2016</w:t>
      </w:r>
      <w:r>
        <w:rPr>
          <w:rFonts w:hint="eastAsia" w:ascii="宋体" w:hAnsi="宋体" w:eastAsia="宋体" w:cs="宋体"/>
          <w:b w:val="0"/>
          <w:i w:val="0"/>
          <w:caps w:val="0"/>
          <w:spacing w:val="0"/>
          <w:w w:val="100"/>
          <w:sz w:val="24"/>
          <w:szCs w:val="24"/>
          <w:highlight w:val="none"/>
        </w:rPr>
        <w:fldChar w:fldCharType="end"/>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（5）四川省电梯安全监督管理办法</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（6）电梯安装使用维护说明书</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（7）维保合同</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  以上规章、标准均以最新有效版本为准。</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维保单位应系统有计划的实施保养,检查润滑和调校，至少15日历天1次的例行保养，保证所有机组的正常运行。保养符合行业安全运行标准。保养完毕后，将保养单交使用单位签字认可。保养任务的完成与否，以保养单为准。建立每部电梯的维保记录，在维保过程中，发现事故隐患及时告知电梯使用单位；发现严重事故隐患，及时向当地质量技术监督部门报告</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并及时维修</w:t>
      </w:r>
      <w:r>
        <w:rPr>
          <w:rFonts w:hint="eastAsia" w:ascii="宋体" w:hAnsi="宋体" w:eastAsia="宋体" w:cs="宋体"/>
          <w:b w:val="0"/>
          <w:i w:val="0"/>
          <w:caps w:val="0"/>
          <w:spacing w:val="0"/>
          <w:w w:val="100"/>
          <w:sz w:val="24"/>
          <w:szCs w:val="24"/>
          <w:highlight w:val="none"/>
        </w:rPr>
        <w:t>。</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6.维保单位应在年检前派符合资格的年检负责人对设备进行一次全面检查，检查</w:t>
      </w:r>
      <w:r>
        <w:rPr>
          <w:rFonts w:hint="eastAsia" w:ascii="宋体" w:hAnsi="宋体" w:eastAsia="宋体" w:cs="宋体"/>
          <w:b w:val="0"/>
          <w:i w:val="0"/>
          <w:caps w:val="0"/>
          <w:spacing w:val="0"/>
          <w:w w:val="100"/>
          <w:sz w:val="24"/>
          <w:szCs w:val="24"/>
          <w:highlight w:val="none"/>
          <w:lang w:val="en-US" w:eastAsia="zh-CN"/>
        </w:rPr>
        <w:t>及时更换需要更</w:t>
      </w:r>
      <w:r>
        <w:rPr>
          <w:rFonts w:hint="eastAsia" w:ascii="宋体" w:hAnsi="宋体" w:eastAsia="宋体" w:cs="宋体"/>
          <w:b w:val="0"/>
          <w:i w:val="0"/>
          <w:caps w:val="0"/>
          <w:spacing w:val="0"/>
          <w:w w:val="100"/>
          <w:sz w:val="24"/>
          <w:szCs w:val="24"/>
          <w:highlight w:val="none"/>
        </w:rPr>
        <w:t>换的零部件，并</w:t>
      </w:r>
      <w:r>
        <w:rPr>
          <w:rFonts w:hint="eastAsia" w:ascii="宋体" w:hAnsi="宋体" w:eastAsia="宋体" w:cs="宋体"/>
          <w:b w:val="0"/>
          <w:i w:val="0"/>
          <w:caps w:val="0"/>
          <w:spacing w:val="0"/>
          <w:w w:val="100"/>
          <w:sz w:val="24"/>
          <w:szCs w:val="24"/>
          <w:highlight w:val="none"/>
          <w:lang w:val="en-US" w:eastAsia="zh-CN"/>
        </w:rPr>
        <w:t>负责对接</w:t>
      </w:r>
      <w:r>
        <w:rPr>
          <w:rFonts w:hint="eastAsia" w:ascii="宋体" w:hAnsi="宋体" w:eastAsia="宋体" w:cs="宋体"/>
          <w:b w:val="0"/>
          <w:i w:val="0"/>
          <w:caps w:val="0"/>
          <w:spacing w:val="0"/>
          <w:w w:val="100"/>
          <w:sz w:val="24"/>
          <w:szCs w:val="24"/>
          <w:highlight w:val="none"/>
        </w:rPr>
        <w:t>当地技</w:t>
      </w:r>
      <w:r>
        <w:rPr>
          <w:rFonts w:hint="eastAsia" w:ascii="宋体" w:hAnsi="宋体" w:eastAsia="宋体" w:cs="宋体"/>
          <w:b w:val="0"/>
          <w:i w:val="0"/>
          <w:caps w:val="0"/>
          <w:spacing w:val="0"/>
          <w:w w:val="100"/>
          <w:sz w:val="24"/>
          <w:szCs w:val="24"/>
          <w:highlight w:val="none"/>
          <w:lang w:val="en-US" w:eastAsia="zh-CN"/>
        </w:rPr>
        <w:t>78</w:t>
      </w:r>
      <w:r>
        <w:rPr>
          <w:rFonts w:hint="eastAsia" w:ascii="宋体" w:hAnsi="宋体" w:eastAsia="宋体" w:cs="宋体"/>
          <w:b w:val="0"/>
          <w:i w:val="0"/>
          <w:caps w:val="0"/>
          <w:spacing w:val="0"/>
          <w:w w:val="100"/>
          <w:sz w:val="24"/>
          <w:szCs w:val="24"/>
          <w:highlight w:val="none"/>
        </w:rPr>
        <w:t>监局安全检测机构进行每年一度的年检,对因维修保养不良而产生的整改项目进行免费整改。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维保单位应保证使用单位通过年检</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并承担所以年度检测费用</w:t>
      </w:r>
      <w:r>
        <w:rPr>
          <w:rFonts w:hint="eastAsia" w:ascii="宋体" w:hAnsi="宋体" w:eastAsia="宋体" w:cs="宋体"/>
          <w:b w:val="0"/>
          <w:i w:val="0"/>
          <w:caps w:val="0"/>
          <w:spacing w:val="0"/>
          <w:w w:val="100"/>
          <w:sz w:val="24"/>
          <w:szCs w:val="24"/>
          <w:highlight w:val="none"/>
        </w:rPr>
        <w:t>。</w:t>
      </w:r>
    </w:p>
    <w:p>
      <w:pPr>
        <w:keepNext w:val="0"/>
        <w:keepLines w:val="0"/>
        <w:pageBreakBefore w:val="0"/>
        <w:numPr>
          <w:ilvl w:val="0"/>
          <w:numId w:val="4"/>
        </w:numPr>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维保单位自行配备工作所需要的工具及设备，保养时设置现场安全警示标志。免费提供保养所需的润滑油、润滑脂和清洁材料</w:t>
      </w:r>
      <w:r>
        <w:rPr>
          <w:rFonts w:hint="eastAsia" w:ascii="宋体" w:hAnsi="宋体" w:eastAsia="宋体" w:cs="宋体"/>
          <w:b w:val="0"/>
          <w:i w:val="0"/>
          <w:caps w:val="0"/>
          <w:spacing w:val="0"/>
          <w:w w:val="100"/>
          <w:sz w:val="24"/>
          <w:szCs w:val="24"/>
          <w:highlight w:val="none"/>
          <w:lang w:val="en-US" w:eastAsia="zh-CN"/>
        </w:rPr>
        <w:t>以及</w:t>
      </w:r>
      <w:r>
        <w:rPr>
          <w:rFonts w:hint="eastAsia" w:ascii="宋体" w:hAnsi="宋体" w:eastAsia="宋体" w:cs="宋体"/>
          <w:b w:val="0"/>
          <w:i w:val="0"/>
          <w:caps w:val="0"/>
          <w:spacing w:val="0"/>
          <w:w w:val="100"/>
          <w:sz w:val="24"/>
          <w:szCs w:val="24"/>
          <w:highlight w:val="none"/>
        </w:rPr>
        <w:t>需要更换的零配件。更换的零配件必须是</w:t>
      </w:r>
      <w:r>
        <w:rPr>
          <w:rFonts w:hint="eastAsia" w:ascii="宋体" w:hAnsi="宋体" w:eastAsia="宋体" w:cs="宋体"/>
          <w:b w:val="0"/>
          <w:i w:val="0"/>
          <w:caps w:val="0"/>
          <w:spacing w:val="0"/>
          <w:w w:val="100"/>
          <w:sz w:val="24"/>
          <w:szCs w:val="24"/>
          <w:highlight w:val="none"/>
          <w:lang w:val="en-US" w:eastAsia="zh-CN"/>
        </w:rPr>
        <w:t>原</w:t>
      </w:r>
      <w:r>
        <w:rPr>
          <w:rFonts w:hint="eastAsia" w:ascii="宋体" w:hAnsi="宋体" w:eastAsia="宋体" w:cs="宋体"/>
          <w:b w:val="0"/>
          <w:i w:val="0"/>
          <w:caps w:val="0"/>
          <w:spacing w:val="0"/>
          <w:w w:val="100"/>
          <w:sz w:val="24"/>
          <w:szCs w:val="24"/>
          <w:highlight w:val="none"/>
        </w:rPr>
        <w:t>厂家的合格产品。</w:t>
      </w:r>
    </w:p>
    <w:p>
      <w:pPr>
        <w:keepNext w:val="0"/>
        <w:keepLines w:val="0"/>
        <w:pageBreakBefore w:val="0"/>
        <w:numPr>
          <w:ilvl w:val="0"/>
          <w:numId w:val="0"/>
        </w:numPr>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lang w:val="en-US" w:eastAsia="zh-CN"/>
        </w:rPr>
        <w:t>8.维保单位提供工作时间驻场服务（8:00-18:00），至少两名具备资质维保人员，</w:t>
      </w:r>
      <w:r>
        <w:rPr>
          <w:rFonts w:hint="eastAsia" w:ascii="宋体" w:hAnsi="宋体" w:eastAsia="宋体" w:cs="宋体"/>
          <w:b w:val="0"/>
          <w:i w:val="0"/>
          <w:caps w:val="0"/>
          <w:spacing w:val="0"/>
          <w:w w:val="100"/>
          <w:sz w:val="24"/>
          <w:szCs w:val="24"/>
          <w:highlight w:val="none"/>
        </w:rPr>
        <w:t>维保单位提供365天24小时的例行维保服务和应急召修服务，在非正常时间内进行维修保养服务时，不加收费用。电梯发生故障时</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工作时间立即到场</w:t>
      </w:r>
      <w:r>
        <w:rPr>
          <w:rFonts w:hint="eastAsia" w:ascii="宋体" w:hAnsi="宋体" w:eastAsia="宋体" w:cs="宋体"/>
          <w:b w:val="0"/>
          <w:i w:val="0"/>
          <w:caps w:val="0"/>
          <w:spacing w:val="0"/>
          <w:w w:val="100"/>
          <w:sz w:val="24"/>
          <w:szCs w:val="24"/>
          <w:highlight w:val="none"/>
        </w:rPr>
        <w:t>，</w:t>
      </w:r>
      <w:r>
        <w:rPr>
          <w:rFonts w:hint="eastAsia" w:ascii="宋体" w:hAnsi="宋体" w:eastAsia="宋体" w:cs="宋体"/>
          <w:b w:val="0"/>
          <w:i w:val="0"/>
          <w:caps w:val="0"/>
          <w:spacing w:val="0"/>
          <w:w w:val="100"/>
          <w:sz w:val="24"/>
          <w:szCs w:val="24"/>
          <w:highlight w:val="none"/>
          <w:lang w:val="en-US" w:eastAsia="zh-CN"/>
        </w:rPr>
        <w:t>夜间</w:t>
      </w:r>
      <w:r>
        <w:rPr>
          <w:rFonts w:hint="eastAsia" w:ascii="宋体" w:hAnsi="宋体" w:eastAsia="宋体" w:cs="宋体"/>
          <w:b w:val="0"/>
          <w:i w:val="0"/>
          <w:caps w:val="0"/>
          <w:spacing w:val="0"/>
          <w:w w:val="100"/>
          <w:sz w:val="24"/>
          <w:szCs w:val="24"/>
          <w:highlight w:val="none"/>
        </w:rPr>
        <w:t>维保单位在接到使用单位通知后</w:t>
      </w:r>
      <w:r>
        <w:rPr>
          <w:rFonts w:hint="eastAsia" w:ascii="宋体" w:hAnsi="宋体" w:eastAsia="宋体" w:cs="宋体"/>
          <w:b w:val="0"/>
          <w:i w:val="0"/>
          <w:caps w:val="0"/>
          <w:spacing w:val="0"/>
          <w:w w:val="100"/>
          <w:sz w:val="24"/>
          <w:szCs w:val="24"/>
          <w:highlight w:val="none"/>
          <w:lang w:val="en-US" w:eastAsia="zh-CN"/>
        </w:rPr>
        <w:t>20</w:t>
      </w:r>
      <w:r>
        <w:rPr>
          <w:rFonts w:hint="eastAsia" w:ascii="宋体" w:hAnsi="宋体" w:eastAsia="宋体" w:cs="宋体"/>
          <w:b w:val="0"/>
          <w:i w:val="0"/>
          <w:caps w:val="0"/>
          <w:spacing w:val="0"/>
          <w:w w:val="100"/>
          <w:sz w:val="24"/>
          <w:szCs w:val="24"/>
          <w:highlight w:val="none"/>
        </w:rPr>
        <w:t>分钟内必须赶到现场处理</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维保单位需在单位附近提供驻场人员的住宿条件</w:t>
      </w:r>
      <w:r>
        <w:rPr>
          <w:rFonts w:hint="eastAsia" w:ascii="宋体" w:hAnsi="宋体" w:eastAsia="宋体" w:cs="宋体"/>
          <w:b w:val="0"/>
          <w:i w:val="0"/>
          <w:caps w:val="0"/>
          <w:spacing w:val="0"/>
          <w:w w:val="100"/>
          <w:sz w:val="24"/>
          <w:szCs w:val="24"/>
          <w:highlight w:val="none"/>
        </w:rPr>
        <w:t>。</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9.若发生下列情况之一的，在结算时按比例扣除该部电梯的维保费用：</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（1）未按合同完成保养任务</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扣除2000元</w:t>
      </w:r>
      <w:r>
        <w:rPr>
          <w:rFonts w:hint="eastAsia" w:ascii="宋体" w:hAnsi="宋体" w:eastAsia="宋体" w:cs="宋体"/>
          <w:b w:val="0"/>
          <w:i w:val="0"/>
          <w:caps w:val="0"/>
          <w:spacing w:val="0"/>
          <w:w w:val="100"/>
          <w:sz w:val="24"/>
          <w:szCs w:val="24"/>
          <w:highlight w:val="none"/>
        </w:rPr>
        <w:t xml:space="preserve">；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（2）电梯发生故障，维保单位在2</w:t>
      </w:r>
      <w:r>
        <w:rPr>
          <w:rFonts w:hint="eastAsia" w:ascii="宋体" w:hAnsi="宋体" w:eastAsia="宋体" w:cs="宋体"/>
          <w:b w:val="0"/>
          <w:i w:val="0"/>
          <w:caps w:val="0"/>
          <w:spacing w:val="0"/>
          <w:w w:val="100"/>
          <w:sz w:val="24"/>
          <w:szCs w:val="24"/>
          <w:highlight w:val="none"/>
          <w:lang w:val="en-US" w:eastAsia="zh-CN"/>
        </w:rPr>
        <w:t>0</w:t>
      </w:r>
      <w:r>
        <w:rPr>
          <w:rFonts w:hint="eastAsia" w:ascii="宋体" w:hAnsi="宋体" w:eastAsia="宋体" w:cs="宋体"/>
          <w:b w:val="0"/>
          <w:i w:val="0"/>
          <w:caps w:val="0"/>
          <w:spacing w:val="0"/>
          <w:w w:val="100"/>
          <w:sz w:val="24"/>
          <w:szCs w:val="24"/>
          <w:highlight w:val="none"/>
        </w:rPr>
        <w:t>分钟内没有到达现场解决问题</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一次扣除维保费1000元</w:t>
      </w:r>
      <w:r>
        <w:rPr>
          <w:rFonts w:hint="eastAsia" w:ascii="宋体" w:hAnsi="宋体" w:eastAsia="宋体" w:cs="宋体"/>
          <w:b w:val="0"/>
          <w:i w:val="0"/>
          <w:caps w:val="0"/>
          <w:spacing w:val="0"/>
          <w:w w:val="100"/>
          <w:sz w:val="24"/>
          <w:szCs w:val="24"/>
          <w:highlight w:val="none"/>
        </w:rPr>
        <w:t xml:space="preserve">；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spacing w:val="0"/>
          <w:w w:val="100"/>
          <w:sz w:val="24"/>
          <w:szCs w:val="24"/>
          <w:highlight w:val="none"/>
          <w:lang w:eastAsia="zh-CN"/>
        </w:rPr>
      </w:pPr>
      <w:r>
        <w:rPr>
          <w:rFonts w:hint="eastAsia" w:ascii="宋体" w:hAnsi="宋体" w:eastAsia="宋体" w:cs="宋体"/>
          <w:b w:val="0"/>
          <w:i w:val="0"/>
          <w:caps w:val="0"/>
          <w:spacing w:val="0"/>
          <w:w w:val="100"/>
          <w:sz w:val="24"/>
          <w:szCs w:val="24"/>
          <w:highlight w:val="none"/>
        </w:rPr>
        <w:t>（3）非使用单位原因造成的电梯非正常运行或因故障连续停止运行</w:t>
      </w:r>
      <w:r>
        <w:rPr>
          <w:rFonts w:hint="eastAsia" w:ascii="宋体" w:hAnsi="宋体" w:eastAsia="宋体" w:cs="宋体"/>
          <w:b w:val="0"/>
          <w:i w:val="0"/>
          <w:caps w:val="0"/>
          <w:spacing w:val="0"/>
          <w:w w:val="100"/>
          <w:sz w:val="24"/>
          <w:szCs w:val="24"/>
          <w:highlight w:val="none"/>
          <w:lang w:val="en-US" w:eastAsia="zh-CN"/>
        </w:rPr>
        <w:t>1</w:t>
      </w:r>
      <w:r>
        <w:rPr>
          <w:rFonts w:hint="eastAsia" w:ascii="宋体" w:hAnsi="宋体" w:eastAsia="宋体" w:cs="宋体"/>
          <w:b w:val="0"/>
          <w:i w:val="0"/>
          <w:caps w:val="0"/>
          <w:spacing w:val="0"/>
          <w:w w:val="100"/>
          <w:sz w:val="24"/>
          <w:szCs w:val="24"/>
          <w:highlight w:val="none"/>
        </w:rPr>
        <w:t>天以上</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超过一天，扣除维保费1000元</w:t>
      </w:r>
      <w:r>
        <w:rPr>
          <w:rFonts w:hint="eastAsia" w:ascii="宋体" w:hAnsi="宋体" w:eastAsia="宋体" w:cs="宋体"/>
          <w:b w:val="0"/>
          <w:i w:val="0"/>
          <w:caps w:val="0"/>
          <w:spacing w:val="0"/>
          <w:w w:val="100"/>
          <w:sz w:val="24"/>
          <w:szCs w:val="24"/>
          <w:highlight w:val="none"/>
        </w:rPr>
        <w:t>。</w:t>
      </w:r>
    </w:p>
    <w:p>
      <w:pPr>
        <w:pStyle w:val="2"/>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spacing w:val="0"/>
          <w:w w:val="100"/>
          <w:sz w:val="24"/>
          <w:szCs w:val="24"/>
          <w:highlight w:val="none"/>
          <w:lang w:val="en-US" w:eastAsia="zh-CN"/>
        </w:rPr>
      </w:pPr>
      <w:r>
        <w:rPr>
          <w:rFonts w:hint="eastAsia" w:ascii="宋体" w:hAnsi="宋体" w:eastAsia="宋体" w:cs="宋体"/>
          <w:b w:val="0"/>
          <w:i w:val="0"/>
          <w:caps w:val="0"/>
          <w:spacing w:val="0"/>
          <w:w w:val="100"/>
          <w:sz w:val="24"/>
          <w:szCs w:val="24"/>
          <w:highlight w:val="none"/>
          <w:lang w:val="en-US" w:eastAsia="zh-CN"/>
        </w:rPr>
        <w:t>(4)工作时间内维保单位驻场人未按照院内要求驻场服务情况，发现一次扣除1000元。</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10.实施维护保养的工作人员应为维保单位的正式员工（提供社保证明），必须持证上岗（提供有效的特种设备作业人员资格证书复印件，加盖单位印章），并提供姓名、联系方式等给使用单位。如维保单位要更换维保人员，须经使用单位审核同意方可更换。</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11.根据使用单位实际需要提供电梯操作的系统培训。使用单位有重大活动时，维保单位需派专门的维修技术人员到达现场，免费提供全程监护服务。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12.维保单位承担所维保电梯发生的非人为因素（不可抗力除外）引起的一切事故责任。如因使用不当造成电梯故障或损坏，维保单位有责任负责及时将其修复或更换，使电梯恢复安全、正常运行，更换配件的费用双方另行协商确定。</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13.对更换下来的电子器件应由使用单位保管或由使用单位与维保单位共同销毁。</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14.维保单位协助使用单位制定电梯安全管理制度、制定应急措施和救援预案，每半年至少针对本单位维保的不同类别（类型）电梯进行一次应急演练。</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lang w:val="en-US" w:eastAsia="zh-CN"/>
        </w:rPr>
      </w:pPr>
      <w:r>
        <w:rPr>
          <w:rFonts w:hint="eastAsia" w:ascii="宋体" w:hAnsi="宋体" w:eastAsia="宋体" w:cs="宋体"/>
          <w:b w:val="0"/>
          <w:i w:val="0"/>
          <w:caps w:val="0"/>
          <w:spacing w:val="0"/>
          <w:w w:val="100"/>
          <w:sz w:val="24"/>
          <w:szCs w:val="24"/>
          <w:highlight w:val="none"/>
        </w:rPr>
        <w:t>1</w:t>
      </w:r>
      <w:r>
        <w:rPr>
          <w:rFonts w:hint="eastAsia" w:ascii="宋体" w:hAnsi="宋体" w:eastAsia="宋体" w:cs="宋体"/>
          <w:b w:val="0"/>
          <w:i w:val="0"/>
          <w:caps w:val="0"/>
          <w:spacing w:val="0"/>
          <w:w w:val="100"/>
          <w:sz w:val="24"/>
          <w:szCs w:val="24"/>
          <w:highlight w:val="none"/>
          <w:lang w:val="en-US" w:eastAsia="zh-CN"/>
        </w:rPr>
        <w:t>5</w:t>
      </w:r>
      <w:r>
        <w:rPr>
          <w:rFonts w:hint="eastAsia" w:ascii="宋体" w:hAnsi="宋体" w:eastAsia="宋体" w:cs="宋体"/>
          <w:b w:val="0"/>
          <w:i w:val="0"/>
          <w:caps w:val="0"/>
          <w:spacing w:val="0"/>
          <w:w w:val="100"/>
          <w:sz w:val="24"/>
          <w:szCs w:val="24"/>
          <w:highlight w:val="none"/>
        </w:rPr>
        <w:t>.维保单位有责任依照国家有关法规的规定，为其参与本项目的所有人员提供劳动安全保障措施。维保单位应为由于维保单位任何人员的伤亡可能导致的损失和索赔投保，并能使使用单位依此保险得到保障而免除损失、索赔或诉讼。</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w:t>
      </w:r>
      <w:r>
        <w:rPr>
          <w:rFonts w:hint="eastAsia" w:ascii="宋体" w:hAnsi="宋体" w:eastAsia="宋体" w:cs="宋体"/>
          <w:b w:val="0"/>
          <w:i w:val="0"/>
          <w:caps w:val="0"/>
          <w:spacing w:val="0"/>
          <w:w w:val="100"/>
          <w:sz w:val="24"/>
          <w:szCs w:val="24"/>
          <w:highlight w:val="none"/>
          <w:lang w:val="en-US" w:eastAsia="zh-CN"/>
        </w:rPr>
        <w:t>7</w:t>
      </w:r>
      <w:r>
        <w:rPr>
          <w:rFonts w:hint="eastAsia" w:ascii="宋体" w:hAnsi="宋体" w:eastAsia="宋体" w:cs="宋体"/>
          <w:b w:val="0"/>
          <w:i w:val="0"/>
          <w:caps w:val="0"/>
          <w:spacing w:val="0"/>
          <w:w w:val="100"/>
          <w:sz w:val="24"/>
          <w:szCs w:val="24"/>
          <w:highlight w:val="none"/>
        </w:rPr>
        <w:t>.电/直梯定期维护保养项目内容及要求</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垂直电梯日常维护保养项目（内容）和要求如下：</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表A-1  半月维保项目（内容）和要求</w:t>
      </w:r>
    </w:p>
    <w:tbl>
      <w:tblPr>
        <w:tblStyle w:val="12"/>
        <w:tblW w:w="9355"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15"/>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12"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序号</w:t>
            </w:r>
          </w:p>
        </w:tc>
        <w:tc>
          <w:tcPr>
            <w:tcW w:w="3420" w:type="dxa"/>
            <w:tcBorders>
              <w:top w:val="single" w:color="auto" w:sz="12"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维保项目（内容）</w:t>
            </w:r>
          </w:p>
        </w:tc>
        <w:tc>
          <w:tcPr>
            <w:tcW w:w="5220" w:type="dxa"/>
            <w:tcBorders>
              <w:top w:val="single" w:color="auto" w:sz="12"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机房、滑轮间环境</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清洁，门窗完好、照明正常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手动紧急操作装置</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齐全，在指定位置</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曳引机</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运行时无异常振动和异常声响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制动器各销轴部位</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润滑，动作灵活</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制动器间隙</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打开时制动衬与制动轮不应发生摩擦</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编码器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清洁，安装牢固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限速器各销轴部位</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润滑，转动灵活；电气开关正常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8</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轿顶</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清洁，防护拦安全可靠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9</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轿顶检修开关、急停开关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10</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导靴上油杯</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吸油毛毡齐全，油量适宜，油杯无泄漏</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对重块及其压板</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对重块无松动，压板紧固。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井道照明</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齐全、正常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轿厢照明、风扇、应急照明</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14</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轿厢检修开关、急停开关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15</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轿内报警装置、对讲系统</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16</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轿内显示、指令按钮</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齐全、有效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17</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轿门安全装置（安全触板，光幕、光电等）</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功能有效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18</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轿门门锁电气触点</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 触点接触良好，接线可靠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19</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轿门运行</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开启和关闭工作正常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20</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轿厢平层精度</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层站召唤、层楼显示</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齐全、有效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层门地坎</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门自动关门装置</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24</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层门门锁自动复位</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用层门钥匙打开手动开锁装置释放后，层门门锁能自动复位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25</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层门门锁电气触点</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 触点接触良好，接线可靠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26</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层门锁紧元件啮合长度</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不小于7mm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27</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底坑环境</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清洁，无渗水、积水，照明正常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28</w:t>
            </w:r>
          </w:p>
        </w:tc>
        <w:tc>
          <w:tcPr>
            <w:tcW w:w="3420" w:type="dxa"/>
            <w:tcBorders>
              <w:top w:val="single" w:color="auto" w:sz="6" w:space="0"/>
              <w:left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底坑急停开关</w:t>
            </w:r>
          </w:p>
        </w:tc>
        <w:tc>
          <w:tcPr>
            <w:tcW w:w="5220" w:type="dxa"/>
            <w:tcBorders>
              <w:top w:val="single" w:color="auto" w:sz="6" w:space="0"/>
              <w:left w:val="single" w:color="auto" w:sz="6" w:space="0"/>
              <w:bottom w:val="single" w:color="auto" w:sz="12"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表A-2  季度维保项目（内容）和要求</w:t>
      </w:r>
    </w:p>
    <w:tbl>
      <w:tblPr>
        <w:tblStyle w:val="12"/>
        <w:tblW w:w="9360"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20"/>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12"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序号</w:t>
            </w:r>
          </w:p>
        </w:tc>
        <w:tc>
          <w:tcPr>
            <w:tcW w:w="3420" w:type="dxa"/>
            <w:tcBorders>
              <w:top w:val="single" w:color="auto" w:sz="12"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维保项目（内容）</w:t>
            </w:r>
          </w:p>
        </w:tc>
        <w:tc>
          <w:tcPr>
            <w:tcW w:w="5220" w:type="dxa"/>
            <w:tcBorders>
              <w:top w:val="single" w:color="auto" w:sz="12"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减速机润滑油</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油量适宜，除蜗杆伸出端外均无渗漏</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制动衬</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位置脉冲发生器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选层器动静触点</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清洁，无烧蚀</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曳引轮槽、曳引钢丝绳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清洁，无严重油腻，张力均匀</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限速器轮槽、限速器钢丝绳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清洁，无严重油腻</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靴衬、滚轮</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8</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验证轿门关闭的电气安全装置</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9</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层门、轿门系统中传动钢丝绳、链条、胶带</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按照制造单位要求进行清洁、调整</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10</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层门门导靴</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消防开关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工作正常，功能有效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耗能缓冲器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电气安全装置功能有效，油量适宜，柱塞无锈蚀</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13</w:t>
            </w:r>
          </w:p>
        </w:tc>
        <w:tc>
          <w:tcPr>
            <w:tcW w:w="3420" w:type="dxa"/>
            <w:tcBorders>
              <w:top w:val="single" w:color="auto" w:sz="6" w:space="0"/>
              <w:left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限速器张紧轮装置和电气安全装置</w:t>
            </w:r>
          </w:p>
        </w:tc>
        <w:tc>
          <w:tcPr>
            <w:tcW w:w="5220" w:type="dxa"/>
            <w:tcBorders>
              <w:top w:val="single" w:color="auto" w:sz="6" w:space="0"/>
              <w:left w:val="single" w:color="auto" w:sz="6" w:space="0"/>
              <w:bottom w:val="single" w:color="auto" w:sz="12"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表A-3  半年维保项目（内容）和要求</w:t>
      </w:r>
    </w:p>
    <w:tbl>
      <w:tblPr>
        <w:tblStyle w:val="12"/>
        <w:tblW w:w="9355"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15"/>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rPr>
          <w:trHeight w:val="397" w:hRule="atLeast"/>
        </w:trPr>
        <w:tc>
          <w:tcPr>
            <w:tcW w:w="715" w:type="dxa"/>
            <w:tcBorders>
              <w:top w:val="single" w:color="auto" w:sz="12"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序号</w:t>
            </w:r>
          </w:p>
        </w:tc>
        <w:tc>
          <w:tcPr>
            <w:tcW w:w="3420" w:type="dxa"/>
            <w:tcBorders>
              <w:top w:val="single" w:color="auto" w:sz="12"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维保项目（内容）</w:t>
            </w:r>
          </w:p>
        </w:tc>
        <w:tc>
          <w:tcPr>
            <w:tcW w:w="5220" w:type="dxa"/>
            <w:tcBorders>
              <w:top w:val="single" w:color="auto" w:sz="12"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电动机与减速机联轴器螺栓</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曳引轮、导向轮轴承部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无异常声，无振动，润滑良好</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曳引轮槽</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制动器上检测开关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工作正常，制动器动作可靠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控制柜内各接线端子</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各接线紧固、整齐，线号齐全清晰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控制柜各仪表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显示正确</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井道、对重、轿顶各反绳轮轴承部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无异常声，无振动，润滑良好</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8</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曳引绳、补偿绳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磨损量、断丝数不超过要求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9</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曳引绳绳头组合</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螺母无松动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10</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限速器钢丝绳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磨损量、断丝数不超过制造单位要求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层门、轿门门扇</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门扇各相关间隙符合标准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对重缓冲距</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left"/>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补偿链（绳）与轿厢、对重接合处</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left"/>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固定、无松动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397" w:hRule="atLeast"/>
        </w:trPr>
        <w:tc>
          <w:tcPr>
            <w:tcW w:w="715" w:type="dxa"/>
            <w:tcBorders>
              <w:top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14</w:t>
            </w:r>
          </w:p>
        </w:tc>
        <w:tc>
          <w:tcPr>
            <w:tcW w:w="3420" w:type="dxa"/>
            <w:tcBorders>
              <w:top w:val="single" w:color="auto" w:sz="6" w:space="0"/>
              <w:left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上、下极限开关</w:t>
            </w:r>
          </w:p>
        </w:tc>
        <w:tc>
          <w:tcPr>
            <w:tcW w:w="5220" w:type="dxa"/>
            <w:tcBorders>
              <w:top w:val="single" w:color="auto" w:sz="6" w:space="0"/>
              <w:left w:val="single" w:color="auto" w:sz="6" w:space="0"/>
              <w:bottom w:val="single" w:color="auto" w:sz="12"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5"/>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         表A-4  年度维保项目（内容）和要求</w:t>
      </w:r>
    </w:p>
    <w:tbl>
      <w:tblPr>
        <w:tblStyle w:val="12"/>
        <w:tblW w:w="9355"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15"/>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12"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序号</w:t>
            </w:r>
          </w:p>
        </w:tc>
        <w:tc>
          <w:tcPr>
            <w:tcW w:w="3420" w:type="dxa"/>
            <w:tcBorders>
              <w:top w:val="single" w:color="auto" w:sz="12"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维保项目（内容）</w:t>
            </w:r>
          </w:p>
        </w:tc>
        <w:tc>
          <w:tcPr>
            <w:tcW w:w="5220" w:type="dxa"/>
            <w:tcBorders>
              <w:top w:val="single" w:color="auto" w:sz="12"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减速机润滑油</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按照制造单位要求适时更换，保证油质符合要求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控制柜接触器，继电器触点</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接触良好</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制动器铁芯（柱塞）</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进行清洁、润滑、检查，磨损量不超过制造单位要求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制动器制动弹簧压缩量</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符合制造单位要求，保持有足够的制动力</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导电回路绝缘性能测试</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限速器安全钳联动试验（每2年进行一次限速器动作速度校验）</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上行超速保护装置动作试验</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8</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轿顶、轿厢架、轿门及其附件安装螺栓</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9</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轿厢和对重的导轨支架</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固定，无松动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10</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轿厢和对重的导轨</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清洁，压板牢固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11</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随行电缆</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无损伤</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12</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层门装置和地坎</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无影响正常使用的变形，各安装螺栓紧固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13</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轿厢称重装置</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准确有效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14</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安全钳钳座</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固定，无松动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15</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轿底各安装螺栓</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12"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16</w:t>
            </w:r>
          </w:p>
        </w:tc>
        <w:tc>
          <w:tcPr>
            <w:tcW w:w="3420" w:type="dxa"/>
            <w:tcBorders>
              <w:top w:val="single" w:color="auto" w:sz="6" w:space="0"/>
              <w:left w:val="single" w:color="auto" w:sz="6" w:space="0"/>
              <w:bottom w:val="single" w:color="auto" w:sz="12"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缓冲器</w:t>
            </w:r>
          </w:p>
        </w:tc>
        <w:tc>
          <w:tcPr>
            <w:tcW w:w="5220" w:type="dxa"/>
            <w:tcBorders>
              <w:top w:val="single" w:color="auto" w:sz="6" w:space="0"/>
              <w:left w:val="single" w:color="auto" w:sz="6" w:space="0"/>
              <w:bottom w:val="single" w:color="auto" w:sz="12"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固定，无松动</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p>
      <w:pPr>
        <w:pStyle w:val="2"/>
        <w:keepNext w:val="0"/>
        <w:keepLines w:val="0"/>
        <w:pageBreakBefore w:val="0"/>
        <w:kinsoku/>
        <w:wordWrap/>
        <w:overflowPunct/>
        <w:topLinePunct w:val="0"/>
        <w:autoSpaceDE/>
        <w:autoSpaceDN/>
        <w:bidi w:val="0"/>
        <w:adjustRightInd/>
        <w:spacing w:line="360" w:lineRule="auto"/>
        <w:rPr>
          <w:rFonts w:hint="eastAsia" w:ascii="宋体" w:hAnsi="宋体" w:eastAsia="宋体" w:cs="宋体"/>
          <w:b w:val="0"/>
          <w:i w:val="0"/>
          <w:caps w:val="0"/>
          <w:spacing w:val="0"/>
          <w:w w:val="100"/>
          <w:sz w:val="24"/>
          <w:szCs w:val="24"/>
          <w:highlight w:val="none"/>
        </w:rPr>
      </w:pPr>
    </w:p>
    <w:p>
      <w:pPr>
        <w:keepNext w:val="0"/>
        <w:keepLines w:val="0"/>
        <w:pageBreakBefore w:val="0"/>
        <w:kinsoku/>
        <w:wordWrap/>
        <w:overflowPunct/>
        <w:topLinePunct w:val="0"/>
        <w:autoSpaceDE/>
        <w:autoSpaceDN/>
        <w:bidi w:val="0"/>
        <w:adjustRightInd/>
        <w:spacing w:line="360" w:lineRule="auto"/>
        <w:rPr>
          <w:rFonts w:hint="eastAsia" w:ascii="宋体" w:hAnsi="宋体" w:eastAsia="宋体" w:cs="宋体"/>
          <w:b w:val="0"/>
          <w:i w:val="0"/>
          <w:caps w:val="0"/>
          <w:spacing w:val="0"/>
          <w:w w:val="100"/>
          <w:sz w:val="24"/>
          <w:szCs w:val="24"/>
          <w:highlight w:val="none"/>
        </w:rPr>
      </w:pPr>
    </w:p>
    <w:p>
      <w:pPr>
        <w:pStyle w:val="2"/>
        <w:keepNext w:val="0"/>
        <w:keepLines w:val="0"/>
        <w:pageBreakBefore w:val="0"/>
        <w:kinsoku/>
        <w:wordWrap/>
        <w:overflowPunct/>
        <w:topLinePunct w:val="0"/>
        <w:autoSpaceDE/>
        <w:autoSpaceDN/>
        <w:bidi w:val="0"/>
        <w:adjustRightInd/>
        <w:spacing w:line="360" w:lineRule="auto"/>
        <w:rPr>
          <w:rFonts w:hint="eastAsia" w:ascii="宋体" w:hAnsi="宋体" w:eastAsia="宋体" w:cs="宋体"/>
          <w:b w:val="0"/>
          <w:i w:val="0"/>
          <w:caps w:val="0"/>
          <w:spacing w:val="0"/>
          <w:w w:val="100"/>
          <w:sz w:val="24"/>
          <w:szCs w:val="24"/>
          <w:highlight w:val="none"/>
        </w:rPr>
      </w:pPr>
    </w:p>
    <w:p>
      <w:pPr>
        <w:keepNext w:val="0"/>
        <w:keepLines w:val="0"/>
        <w:pageBreakBefore w:val="0"/>
        <w:kinsoku/>
        <w:wordWrap/>
        <w:overflowPunct/>
        <w:topLinePunct w:val="0"/>
        <w:autoSpaceDE/>
        <w:autoSpaceDN/>
        <w:bidi w:val="0"/>
        <w:adjustRightInd/>
        <w:spacing w:line="360" w:lineRule="auto"/>
        <w:rPr>
          <w:rFonts w:hint="eastAsia" w:ascii="宋体" w:hAnsi="宋体" w:eastAsia="宋体" w:cs="宋体"/>
          <w:b w:val="0"/>
          <w:i w:val="0"/>
          <w:caps w:val="0"/>
          <w:spacing w:val="0"/>
          <w:w w:val="100"/>
          <w:sz w:val="24"/>
          <w:szCs w:val="24"/>
          <w:highlight w:val="none"/>
        </w:rPr>
      </w:pPr>
    </w:p>
    <w:p>
      <w:pPr>
        <w:keepNext w:val="0"/>
        <w:keepLines w:val="0"/>
        <w:pageBreakBefore w:val="0"/>
        <w:kinsoku/>
        <w:wordWrap/>
        <w:overflowPunct/>
        <w:topLinePunct w:val="0"/>
        <w:autoSpaceDE/>
        <w:autoSpaceDN/>
        <w:bidi w:val="0"/>
        <w:adjustRightInd/>
        <w:spacing w:line="360" w:lineRule="auto"/>
        <w:rPr>
          <w:rFonts w:hint="eastAsia" w:ascii="宋体" w:hAnsi="宋体" w:eastAsia="宋体" w:cs="宋体"/>
          <w:sz w:val="24"/>
          <w:szCs w:val="24"/>
          <w:highlight w:val="none"/>
        </w:rPr>
      </w:pPr>
    </w:p>
    <w:p>
      <w:pPr>
        <w:keepNext w:val="0"/>
        <w:keepLines w:val="0"/>
        <w:pageBreakBefore w:val="0"/>
        <w:numPr>
          <w:ilvl w:val="0"/>
          <w:numId w:val="5"/>
        </w:numPr>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主要配件清单</w:t>
      </w:r>
    </w:p>
    <w:p>
      <w:pPr>
        <w:pStyle w:val="2"/>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主要配件清单</w:t>
      </w:r>
    </w:p>
    <w:tbl>
      <w:tblPr>
        <w:tblStyle w:val="12"/>
        <w:tblpPr w:leftFromText="180" w:rightFromText="180" w:vertAnchor="text" w:horzAnchor="page" w:tblpX="1886" w:tblpY="367"/>
        <w:tblOverlap w:val="never"/>
        <w:tblW w:w="8252" w:type="dxa"/>
        <w:tblInd w:w="0" w:type="dxa"/>
        <w:tblLayout w:type="fixed"/>
        <w:tblCellMar>
          <w:top w:w="0" w:type="dxa"/>
          <w:left w:w="10" w:type="dxa"/>
          <w:bottom w:w="0" w:type="dxa"/>
          <w:right w:w="10" w:type="dxa"/>
        </w:tblCellMar>
      </w:tblPr>
      <w:tblGrid>
        <w:gridCol w:w="739"/>
        <w:gridCol w:w="2204"/>
        <w:gridCol w:w="1681"/>
        <w:gridCol w:w="2727"/>
        <w:gridCol w:w="901"/>
      </w:tblGrid>
      <w:tr>
        <w:tblPrEx>
          <w:tblCellMar>
            <w:top w:w="0" w:type="dxa"/>
            <w:left w:w="10" w:type="dxa"/>
            <w:bottom w:w="0" w:type="dxa"/>
            <w:right w:w="10" w:type="dxa"/>
          </w:tblCellMar>
        </w:tblPrEx>
        <w:trPr>
          <w:trHeight w:val="629" w:hRule="exact"/>
        </w:trPr>
        <w:tc>
          <w:tcPr>
            <w:tcW w:w="739" w:type="dxa"/>
            <w:tcBorders>
              <w:top w:val="single" w:color="auto" w:sz="4" w:space="0"/>
              <w:lef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序号</w:t>
            </w:r>
          </w:p>
        </w:tc>
        <w:tc>
          <w:tcPr>
            <w:tcW w:w="2204" w:type="dxa"/>
            <w:tcBorders>
              <w:top w:val="single" w:color="auto" w:sz="4" w:space="0"/>
              <w:lef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产品名称</w:t>
            </w:r>
          </w:p>
        </w:tc>
        <w:tc>
          <w:tcPr>
            <w:tcW w:w="1681" w:type="dxa"/>
            <w:tcBorders>
              <w:top w:val="single" w:color="auto" w:sz="4" w:space="0"/>
              <w:lef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规格型号</w:t>
            </w:r>
          </w:p>
        </w:tc>
        <w:tc>
          <w:tcPr>
            <w:tcW w:w="2727" w:type="dxa"/>
            <w:tcBorders>
              <w:top w:val="single" w:color="auto" w:sz="4" w:space="0"/>
              <w:lef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品牌</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备注</w:t>
            </w:r>
          </w:p>
        </w:tc>
      </w:tr>
      <w:tr>
        <w:tblPrEx>
          <w:tblCellMar>
            <w:top w:w="0" w:type="dxa"/>
            <w:left w:w="10" w:type="dxa"/>
            <w:bottom w:w="0" w:type="dxa"/>
            <w:right w:w="10" w:type="dxa"/>
          </w:tblCellMar>
        </w:tblPrEx>
        <w:trPr>
          <w:trHeight w:val="47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摩擦轮</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4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2</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锁梯板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6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3</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扶梯制动器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8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4</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速度传感器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7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5</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轿厢通讯板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8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6</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轿厢扩展板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0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7</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对讲副机</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8</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编码器过滤板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6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9</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门机变频器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5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10</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外呼板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51"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11</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门刀控制器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41"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12</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转换板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66"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13</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语音报站</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61"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14</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门机控制器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46"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15</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rPr>
              <w:t>编码器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16</w:t>
            </w:r>
          </w:p>
        </w:tc>
        <w:tc>
          <w:tcPr>
            <w:tcW w:w="2204"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光幕</w:t>
            </w:r>
          </w:p>
        </w:tc>
        <w:tc>
          <w:tcPr>
            <w:tcW w:w="1681"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16" w:hRule="exact"/>
        </w:trPr>
        <w:tc>
          <w:tcPr>
            <w:tcW w:w="739"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17</w:t>
            </w:r>
          </w:p>
        </w:tc>
        <w:tc>
          <w:tcPr>
            <w:tcW w:w="2204"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涨紧轮</w:t>
            </w:r>
          </w:p>
        </w:tc>
        <w:tc>
          <w:tcPr>
            <w:tcW w:w="1681"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76" w:hRule="exact"/>
        </w:trPr>
        <w:tc>
          <w:tcPr>
            <w:tcW w:w="739"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18</w:t>
            </w:r>
          </w:p>
        </w:tc>
        <w:tc>
          <w:tcPr>
            <w:tcW w:w="2204"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缓冲器</w:t>
            </w:r>
          </w:p>
        </w:tc>
        <w:tc>
          <w:tcPr>
            <w:tcW w:w="1681"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LED灯</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梯级</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压带轮</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4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涨紧链</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转向链</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7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五方通话</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4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平层感应器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扶梯踏板检测开关</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LONIOS接口印板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LONDAG接口印板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8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LREP2</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BPL</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蓄电池（3.5AH 12VDC）</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2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GW2.QM</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TA4L1(680VA)变压器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TA4L2(940VA)变压器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4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TAB变压器（730VA）</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RV140电动机风扇</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NGAE2/3开关电源</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FENS主滤波器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FEL照明滤波器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NGSK</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4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ESE机房检修盒</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SKE1.M安全回路板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7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MBB3.M印板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6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GCIO360.Q印板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5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EBLON1.Q印板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7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EBLON2.Q印板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8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EBLON68.Q印板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ASILOG</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相序继电器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6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带3个可配置口的印板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75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处理器印板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2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5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82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制动抱闸印板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6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电源分配印板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PCB NWIO</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2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轿厢接口印板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7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2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限速器电气远程开关</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ELSCO橡胶导轮</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监控对讲机</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手动疏散装置</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8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底坑照明盒</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1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风扇组件</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70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V30AP光幕组件</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71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墙式供电模块</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5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72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开关电源</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1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73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接触器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5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74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74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val="en-US" w:eastAsia="zh-CN" w:bidi="ar"/>
              </w:rPr>
            </w:pPr>
            <w:r>
              <w:rPr>
                <w:rFonts w:hint="eastAsia" w:ascii="宋体" w:hAnsi="宋体" w:eastAsia="宋体" w:cs="宋体"/>
                <w:b w:val="0"/>
                <w:i w:val="0"/>
                <w:caps w:val="0"/>
                <w:color w:val="000000"/>
                <w:spacing w:val="0"/>
                <w:w w:val="100"/>
                <w:kern w:val="0"/>
                <w:sz w:val="24"/>
                <w:szCs w:val="24"/>
                <w:highlight w:val="none"/>
                <w:lang w:val="en-US" w:eastAsia="zh-CN" w:bidi="ar"/>
              </w:rPr>
              <w:t>75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rPr>
            </w:pPr>
            <w:r>
              <w:rPr>
                <w:rFonts w:hint="eastAsia" w:ascii="宋体" w:hAnsi="宋体" w:eastAsia="宋体" w:cs="宋体"/>
                <w:b w:val="0"/>
                <w:i w:val="0"/>
                <w:caps w:val="0"/>
                <w:spacing w:val="0"/>
                <w:w w:val="100"/>
                <w:kern w:val="0"/>
                <w:sz w:val="24"/>
                <w:szCs w:val="24"/>
                <w:highlight w:val="none"/>
                <w:lang w:val="en-US" w:eastAsia="zh-CN"/>
              </w:rPr>
              <w:t>曳引主机</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bidi="ar-SA"/>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7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val="en-US" w:eastAsia="zh-CN" w:bidi="ar"/>
              </w:rPr>
            </w:pPr>
            <w:r>
              <w:rPr>
                <w:rFonts w:hint="eastAsia" w:ascii="宋体" w:hAnsi="宋体" w:eastAsia="宋体" w:cs="宋体"/>
                <w:b w:val="0"/>
                <w:i w:val="0"/>
                <w:caps w:val="0"/>
                <w:color w:val="000000"/>
                <w:spacing w:val="0"/>
                <w:w w:val="100"/>
                <w:kern w:val="0"/>
                <w:sz w:val="24"/>
                <w:szCs w:val="24"/>
                <w:highlight w:val="none"/>
                <w:lang w:val="en-US" w:eastAsia="zh-CN" w:bidi="ar"/>
              </w:rPr>
              <w:t>76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rPr>
            </w:pPr>
            <w:r>
              <w:rPr>
                <w:rFonts w:hint="eastAsia" w:ascii="宋体" w:hAnsi="宋体" w:eastAsia="宋体" w:cs="宋体"/>
                <w:b w:val="0"/>
                <w:i w:val="0"/>
                <w:caps w:val="0"/>
                <w:spacing w:val="0"/>
                <w:w w:val="100"/>
                <w:kern w:val="0"/>
                <w:sz w:val="24"/>
                <w:szCs w:val="24"/>
                <w:highlight w:val="none"/>
                <w:lang w:val="en-US" w:eastAsia="zh-CN"/>
              </w:rPr>
              <w:t>变频器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bidi="ar-SA"/>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69"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val="en-US" w:eastAsia="zh-CN" w:bidi="ar"/>
              </w:rPr>
            </w:pPr>
            <w:r>
              <w:rPr>
                <w:rFonts w:hint="eastAsia" w:ascii="宋体" w:hAnsi="宋体" w:eastAsia="宋体" w:cs="宋体"/>
                <w:b w:val="0"/>
                <w:i w:val="0"/>
                <w:caps w:val="0"/>
                <w:color w:val="000000"/>
                <w:spacing w:val="0"/>
                <w:w w:val="100"/>
                <w:kern w:val="0"/>
                <w:sz w:val="24"/>
                <w:szCs w:val="24"/>
                <w:highlight w:val="none"/>
                <w:lang w:val="en-US" w:eastAsia="zh-CN" w:bidi="ar"/>
              </w:rPr>
              <w:t>77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rPr>
            </w:pPr>
            <w:r>
              <w:rPr>
                <w:rFonts w:hint="eastAsia" w:ascii="宋体" w:hAnsi="宋体" w:eastAsia="宋体" w:cs="宋体"/>
                <w:b w:val="0"/>
                <w:i w:val="0"/>
                <w:caps w:val="0"/>
                <w:spacing w:val="0"/>
                <w:w w:val="100"/>
                <w:kern w:val="0"/>
                <w:sz w:val="24"/>
                <w:szCs w:val="24"/>
                <w:highlight w:val="none"/>
                <w:lang w:val="en-US" w:eastAsia="zh-CN"/>
              </w:rPr>
              <w:t>曳引轮</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bidi="ar-SA"/>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lang w:val="en-US" w:eastAsia="zh-CN"/>
              </w:rPr>
            </w:pPr>
            <w:r>
              <w:rPr>
                <w:rFonts w:hint="eastAsia" w:ascii="宋体" w:hAnsi="宋体" w:eastAsia="宋体" w:cs="宋体"/>
                <w:b w:val="0"/>
                <w:i w:val="0"/>
                <w:caps w:val="0"/>
                <w:spacing w:val="0"/>
                <w:w w:val="100"/>
                <w:sz w:val="24"/>
                <w:szCs w:val="24"/>
                <w:highlight w:val="none"/>
                <w:lang w:val="en-US" w:eastAsia="zh-CN"/>
              </w:rPr>
              <w:t>78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rPr>
            </w:pPr>
            <w:r>
              <w:rPr>
                <w:rFonts w:hint="eastAsia" w:ascii="宋体" w:hAnsi="宋体" w:eastAsia="宋体" w:cs="宋体"/>
                <w:b w:val="0"/>
                <w:i w:val="0"/>
                <w:caps w:val="0"/>
                <w:spacing w:val="0"/>
                <w:w w:val="100"/>
                <w:kern w:val="0"/>
                <w:sz w:val="24"/>
                <w:szCs w:val="24"/>
                <w:highlight w:val="none"/>
                <w:lang w:val="en-US" w:eastAsia="zh-CN"/>
              </w:rPr>
              <w:t>曳引钢丝绳</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bidi="ar-SA"/>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76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val="en-US" w:eastAsia="zh-CN" w:bidi="ar"/>
              </w:rPr>
            </w:pPr>
            <w:r>
              <w:rPr>
                <w:rFonts w:hint="eastAsia" w:ascii="宋体" w:hAnsi="宋体" w:eastAsia="宋体" w:cs="宋体"/>
                <w:b w:val="0"/>
                <w:i w:val="0"/>
                <w:caps w:val="0"/>
                <w:color w:val="000000"/>
                <w:spacing w:val="0"/>
                <w:w w:val="100"/>
                <w:kern w:val="0"/>
                <w:sz w:val="24"/>
                <w:szCs w:val="24"/>
                <w:highlight w:val="none"/>
                <w:lang w:val="en-US" w:eastAsia="zh-CN" w:bidi="ar"/>
              </w:rPr>
              <w:t>79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rPr>
            </w:pPr>
            <w:r>
              <w:rPr>
                <w:rFonts w:hint="eastAsia" w:ascii="宋体" w:hAnsi="宋体" w:eastAsia="宋体" w:cs="宋体"/>
                <w:b w:val="0"/>
                <w:i w:val="0"/>
                <w:caps w:val="0"/>
                <w:spacing w:val="0"/>
                <w:w w:val="100"/>
                <w:kern w:val="0"/>
                <w:sz w:val="24"/>
                <w:szCs w:val="24"/>
                <w:highlight w:val="none"/>
                <w:lang w:val="en-US" w:eastAsia="zh-CN"/>
              </w:rPr>
              <w:t>控制柜</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bidi="ar-SA"/>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bl>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jc w:val="left"/>
        <w:textAlignment w:val="center"/>
        <w:rPr>
          <w:rFonts w:hint="eastAsia" w:ascii="宋体" w:hAnsi="宋体" w:eastAsia="宋体" w:cs="宋体"/>
          <w:b w:val="0"/>
          <w:i w:val="0"/>
          <w:caps w:val="0"/>
          <w:color w:val="000000"/>
          <w:spacing w:val="0"/>
          <w:w w:val="100"/>
          <w:kern w:val="0"/>
          <w:sz w:val="24"/>
          <w:szCs w:val="24"/>
          <w:highlight w:val="none"/>
          <w:lang w:val="en-US" w:eastAsia="zh-CN" w:bidi="ar"/>
        </w:rPr>
      </w:pPr>
      <w:r>
        <w:rPr>
          <w:rFonts w:hint="eastAsia" w:ascii="宋体" w:hAnsi="宋体" w:eastAsia="宋体" w:cs="宋体"/>
          <w:b w:val="0"/>
          <w:i w:val="0"/>
          <w:caps w:val="0"/>
          <w:color w:val="000000"/>
          <w:spacing w:val="0"/>
          <w:w w:val="100"/>
          <w:kern w:val="0"/>
          <w:sz w:val="24"/>
          <w:szCs w:val="24"/>
          <w:highlight w:val="none"/>
          <w:lang w:bidi="ar"/>
        </w:rPr>
        <w:t>备注：</w:t>
      </w:r>
      <w:r>
        <w:rPr>
          <w:rFonts w:hint="eastAsia" w:ascii="宋体" w:hAnsi="宋体" w:eastAsia="宋体" w:cs="宋体"/>
          <w:b w:val="0"/>
          <w:i w:val="0"/>
          <w:caps w:val="0"/>
          <w:color w:val="000000"/>
          <w:spacing w:val="0"/>
          <w:w w:val="100"/>
          <w:kern w:val="0"/>
          <w:sz w:val="24"/>
          <w:szCs w:val="24"/>
          <w:highlight w:val="none"/>
          <w:lang w:val="en-US" w:eastAsia="zh-CN" w:bidi="ar"/>
        </w:rPr>
        <w:t>本次招标为全包价，以上仅为项目电梯的主要配件类型，投标方须承诺提供项目电梯维修所需要的所有配件、部件（人为损坏除外），否则投标文件无效</w:t>
      </w:r>
      <w:r>
        <w:rPr>
          <w:rFonts w:hint="eastAsia" w:ascii="宋体" w:hAnsi="宋体" w:eastAsia="宋体" w:cs="宋体"/>
          <w:b w:val="0"/>
          <w:i w:val="0"/>
          <w:caps w:val="0"/>
          <w:color w:val="000000"/>
          <w:spacing w:val="0"/>
          <w:w w:val="100"/>
          <w:kern w:val="0"/>
          <w:sz w:val="24"/>
          <w:szCs w:val="24"/>
          <w:highlight w:val="none"/>
          <w:lang w:val="en-US" w:eastAsia="zh-CN" w:bidi="ar"/>
        </w:rPr>
        <w:tab/>
      </w:r>
      <w:r>
        <w:rPr>
          <w:rFonts w:hint="eastAsia" w:ascii="宋体" w:hAnsi="宋体" w:eastAsia="宋体" w:cs="宋体"/>
          <w:b w:val="0"/>
          <w:i w:val="0"/>
          <w:caps w:val="0"/>
          <w:color w:val="000000"/>
          <w:spacing w:val="0"/>
          <w:w w:val="100"/>
          <w:kern w:val="0"/>
          <w:sz w:val="24"/>
          <w:szCs w:val="24"/>
          <w:highlight w:val="none"/>
          <w:lang w:val="en-US" w:eastAsia="zh-CN" w:bidi="ar"/>
        </w:rPr>
        <w:t>。</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left"/>
        <w:textAlignment w:val="center"/>
        <w:rPr>
          <w:rFonts w:hint="eastAsia"/>
        </w:rPr>
      </w:pPr>
      <w:r>
        <w:rPr>
          <w:rFonts w:hint="eastAsia" w:ascii="宋体" w:hAnsi="宋体" w:eastAsia="宋体" w:cs="宋体"/>
          <w:b w:val="0"/>
          <w:i w:val="0"/>
          <w:caps w:val="0"/>
          <w:color w:val="000000"/>
          <w:spacing w:val="0"/>
          <w:w w:val="100"/>
          <w:kern w:val="0"/>
          <w:sz w:val="24"/>
          <w:szCs w:val="24"/>
          <w:highlight w:val="none"/>
          <w:lang w:val="en-US" w:eastAsia="zh-CN" w:bidi="ar"/>
        </w:rPr>
        <w:t xml:space="preserve">   告知：因我院电梯投入使用时间较长，</w:t>
      </w:r>
      <w:r>
        <w:rPr>
          <w:rFonts w:hint="eastAsia" w:ascii="宋体" w:hAnsi="宋体" w:eastAsia="宋体" w:cs="宋体"/>
          <w:b w:val="0"/>
          <w:i w:val="0"/>
          <w:caps w:val="0"/>
          <w:color w:val="FF0000"/>
          <w:spacing w:val="0"/>
          <w:w w:val="100"/>
          <w:kern w:val="0"/>
          <w:sz w:val="24"/>
          <w:szCs w:val="24"/>
          <w:highlight w:val="none"/>
          <w:lang w:val="en-US" w:eastAsia="zh-CN" w:bidi="ar"/>
        </w:rPr>
        <w:t>配件磨损比较严重，现有住院部电梯四台和门诊楼电梯两台电梯钢丝绳需更换，门诊楼扶梯梯级链需2条需更换，3-4楼1条扶手带需更换，维保单位在合同生效后按照要求更换。</w:t>
      </w:r>
      <w:r>
        <w:rPr>
          <w:rFonts w:hint="eastAsia" w:ascii="宋体" w:hAnsi="宋体" w:eastAsia="宋体" w:cs="宋体"/>
          <w:b w:val="0"/>
          <w:i w:val="0"/>
          <w:caps w:val="0"/>
          <w:color w:val="000000"/>
          <w:spacing w:val="0"/>
          <w:w w:val="100"/>
          <w:kern w:val="0"/>
          <w:sz w:val="24"/>
          <w:szCs w:val="24"/>
          <w:highlight w:val="none"/>
          <w:lang w:val="en-US" w:eastAsia="zh-CN" w:bidi="ar"/>
        </w:rPr>
        <w:t>门诊楼扶梯使用时间已经12年，电梯各部件磨损严重，其它电梯运行情况维保单位自行评估，维保单位在进场后需对电梯进行一次检修。以上所有费用全包含在投标价格内，</w:t>
      </w:r>
      <w:r>
        <w:rPr>
          <w:rFonts w:hint="eastAsia" w:ascii="宋体" w:hAnsi="宋体" w:eastAsia="宋体" w:cs="宋体"/>
          <w:b w:val="0"/>
          <w:i w:val="0"/>
          <w:caps w:val="0"/>
          <w:color w:val="FF0000"/>
          <w:spacing w:val="0"/>
          <w:w w:val="100"/>
          <w:kern w:val="0"/>
          <w:sz w:val="24"/>
          <w:szCs w:val="24"/>
          <w:highlight w:val="none"/>
          <w:lang w:val="en-US" w:eastAsia="zh-CN" w:bidi="ar"/>
        </w:rPr>
        <w:t>并在报价中体现相关费用组成。</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2" w:firstLineChars="200"/>
        <w:jc w:val="both"/>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五、维保服务期限</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维保服务期2年</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合同一年一签</w:t>
      </w:r>
      <w:r>
        <w:rPr>
          <w:rFonts w:hint="eastAsia" w:ascii="宋体" w:hAnsi="宋体" w:eastAsia="宋体" w:cs="宋体"/>
          <w:b w:val="0"/>
          <w:i w:val="0"/>
          <w:caps w:val="0"/>
          <w:spacing w:val="0"/>
          <w:w w:val="100"/>
          <w:sz w:val="24"/>
          <w:szCs w:val="24"/>
          <w:highlight w:val="none"/>
        </w:rPr>
        <w:t>，到期时使用单位根据维保单位服务情况</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满意度考核表</w:t>
      </w:r>
      <w:r>
        <w:rPr>
          <w:rFonts w:hint="eastAsia" w:ascii="宋体" w:hAnsi="宋体" w:eastAsia="宋体" w:cs="宋体"/>
          <w:b w:val="0"/>
          <w:i w:val="0"/>
          <w:caps w:val="0"/>
          <w:spacing w:val="0"/>
          <w:w w:val="100"/>
          <w:sz w:val="24"/>
          <w:szCs w:val="24"/>
          <w:highlight w:val="none"/>
        </w:rPr>
        <w:t>决定是否续签合同。出现重大责任事故或者维保单位严重违反合同约定时，使用单位有权随时解除合同。</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lang w:val="en-US" w:eastAsia="zh-CN"/>
        </w:rPr>
        <w:t>六</w:t>
      </w:r>
      <w:r>
        <w:rPr>
          <w:rFonts w:hint="eastAsia" w:ascii="宋体" w:hAnsi="宋体" w:eastAsia="宋体" w:cs="宋体"/>
          <w:b/>
          <w:bCs/>
          <w:i w:val="0"/>
          <w:caps w:val="0"/>
          <w:spacing w:val="0"/>
          <w:w w:val="100"/>
          <w:sz w:val="24"/>
          <w:szCs w:val="24"/>
          <w:highlight w:val="none"/>
        </w:rPr>
        <w:t>、投标文件的评审</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1.由招标小组组织成立评审委员会，对投标文件进行综合评审。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2.评审方法</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本项目采用综合评分法，评审委员会将对各投标人的投标方案、各项报价、企业综合能力、对项目的投入等方面进行综合评审，对实质上响应招标文件的投标人，由评委进行综合打分。经统计，得出各投标人的最终评审分（计算结果按四舍五入取小数点后二位），按最终评审分由高到低顺序排列。根据上述评标原则，分值安排如下： </w:t>
      </w:r>
    </w:p>
    <w:tbl>
      <w:tblPr>
        <w:tblStyle w:val="12"/>
        <w:tblpPr w:leftFromText="180" w:rightFromText="180" w:vertAnchor="text" w:horzAnchor="page" w:tblpXSpec="center" w:tblpY="357"/>
        <w:tblOverlap w:val="never"/>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566"/>
        <w:gridCol w:w="1431"/>
        <w:gridCol w:w="3353"/>
        <w:gridCol w:w="3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bCs/>
                <w:i w:val="0"/>
                <w:caps w:val="0"/>
                <w:color w:val="000000"/>
                <w:spacing w:val="0"/>
                <w:w w:val="100"/>
                <w:sz w:val="24"/>
                <w:szCs w:val="24"/>
                <w:highlight w:val="none"/>
              </w:rPr>
            </w:pPr>
            <w:r>
              <w:rPr>
                <w:rFonts w:hint="eastAsia" w:ascii="宋体" w:hAnsi="宋体" w:eastAsia="宋体" w:cs="宋体"/>
                <w:b/>
                <w:bCs/>
                <w:i w:val="0"/>
                <w:caps w:val="0"/>
                <w:color w:val="000000"/>
                <w:spacing w:val="0"/>
                <w:w w:val="100"/>
                <w:kern w:val="0"/>
                <w:sz w:val="24"/>
                <w:szCs w:val="24"/>
                <w:highlight w:val="none"/>
                <w:lang w:bidi="ar"/>
              </w:rPr>
              <w:t>序号</w:t>
            </w:r>
          </w:p>
        </w:tc>
        <w:tc>
          <w:tcPr>
            <w:tcW w:w="156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bCs/>
                <w:i w:val="0"/>
                <w:caps w:val="0"/>
                <w:color w:val="000000"/>
                <w:spacing w:val="0"/>
                <w:w w:val="100"/>
                <w:sz w:val="24"/>
                <w:szCs w:val="24"/>
                <w:highlight w:val="none"/>
              </w:rPr>
            </w:pPr>
            <w:r>
              <w:rPr>
                <w:rFonts w:hint="eastAsia" w:ascii="宋体" w:hAnsi="宋体" w:eastAsia="宋体" w:cs="宋体"/>
                <w:b/>
                <w:bCs/>
                <w:i w:val="0"/>
                <w:caps w:val="0"/>
                <w:color w:val="000000"/>
                <w:spacing w:val="0"/>
                <w:w w:val="100"/>
                <w:kern w:val="0"/>
                <w:sz w:val="24"/>
                <w:szCs w:val="24"/>
                <w:highlight w:val="none"/>
                <w:lang w:bidi="ar"/>
              </w:rPr>
              <w:t>项 目</w:t>
            </w:r>
          </w:p>
        </w:tc>
        <w:tc>
          <w:tcPr>
            <w:tcW w:w="1431"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bCs/>
                <w:i w:val="0"/>
                <w:caps w:val="0"/>
                <w:color w:val="000000"/>
                <w:spacing w:val="0"/>
                <w:w w:val="100"/>
                <w:sz w:val="24"/>
                <w:szCs w:val="24"/>
                <w:highlight w:val="none"/>
              </w:rPr>
            </w:pPr>
            <w:r>
              <w:rPr>
                <w:rFonts w:hint="eastAsia" w:ascii="宋体" w:hAnsi="宋体" w:eastAsia="宋体" w:cs="宋体"/>
                <w:b/>
                <w:bCs/>
                <w:i w:val="0"/>
                <w:caps w:val="0"/>
                <w:color w:val="000000"/>
                <w:spacing w:val="0"/>
                <w:w w:val="100"/>
                <w:kern w:val="0"/>
                <w:sz w:val="24"/>
                <w:szCs w:val="24"/>
                <w:highlight w:val="none"/>
                <w:lang w:bidi="ar"/>
              </w:rPr>
              <w:t>标 准</w:t>
            </w:r>
          </w:p>
        </w:tc>
        <w:tc>
          <w:tcPr>
            <w:tcW w:w="335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723" w:firstLineChars="300"/>
              <w:jc w:val="center"/>
              <w:textAlignment w:val="center"/>
              <w:rPr>
                <w:rFonts w:hint="eastAsia" w:ascii="宋体" w:hAnsi="宋体" w:eastAsia="宋体" w:cs="宋体"/>
                <w:b/>
                <w:bCs/>
                <w:i w:val="0"/>
                <w:caps w:val="0"/>
                <w:color w:val="000000"/>
                <w:spacing w:val="0"/>
                <w:w w:val="100"/>
                <w:sz w:val="24"/>
                <w:szCs w:val="24"/>
                <w:highlight w:val="none"/>
              </w:rPr>
            </w:pPr>
            <w:r>
              <w:rPr>
                <w:rFonts w:hint="eastAsia" w:ascii="宋体" w:hAnsi="宋体" w:eastAsia="宋体" w:cs="宋体"/>
                <w:b/>
                <w:bCs/>
                <w:i w:val="0"/>
                <w:caps w:val="0"/>
                <w:color w:val="000000"/>
                <w:spacing w:val="0"/>
                <w:w w:val="100"/>
                <w:kern w:val="0"/>
                <w:sz w:val="24"/>
                <w:szCs w:val="24"/>
                <w:highlight w:val="none"/>
                <w:lang w:bidi="ar"/>
              </w:rPr>
              <w:t xml:space="preserve">内 </w:t>
            </w:r>
            <w:r>
              <w:rPr>
                <w:rStyle w:val="21"/>
                <w:rFonts w:hint="eastAsia" w:ascii="宋体" w:hAnsi="宋体" w:eastAsia="宋体" w:cs="宋体"/>
                <w:b/>
                <w:bCs/>
                <w:i w:val="0"/>
                <w:caps w:val="0"/>
                <w:color w:val="000000"/>
                <w:spacing w:val="0"/>
                <w:w w:val="100"/>
                <w:sz w:val="24"/>
                <w:szCs w:val="24"/>
                <w:highlight w:val="none"/>
                <w:lang w:bidi="ar"/>
              </w:rPr>
              <w:t xml:space="preserve">   容</w:t>
            </w:r>
          </w:p>
        </w:tc>
        <w:tc>
          <w:tcPr>
            <w:tcW w:w="3078"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bCs/>
                <w:i w:val="0"/>
                <w:caps w:val="0"/>
                <w:color w:val="000000"/>
                <w:spacing w:val="0"/>
                <w:w w:val="100"/>
                <w:sz w:val="24"/>
                <w:szCs w:val="24"/>
                <w:highlight w:val="none"/>
              </w:rPr>
            </w:pPr>
            <w:r>
              <w:rPr>
                <w:rFonts w:hint="eastAsia" w:ascii="宋体" w:hAnsi="宋体" w:eastAsia="宋体" w:cs="宋体"/>
                <w:b/>
                <w:bCs/>
                <w:i w:val="0"/>
                <w:caps w:val="0"/>
                <w:color w:val="000000"/>
                <w:spacing w:val="0"/>
                <w:w w:val="100"/>
                <w:kern w:val="0"/>
                <w:sz w:val="24"/>
                <w:szCs w:val="24"/>
                <w:highlight w:val="none"/>
                <w:lang w:bidi="ar"/>
              </w:rPr>
              <w:t>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72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1</w:t>
            </w:r>
          </w:p>
        </w:tc>
        <w:tc>
          <w:tcPr>
            <w:tcW w:w="156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投标报价（20分）</w:t>
            </w:r>
          </w:p>
        </w:tc>
        <w:tc>
          <w:tcPr>
            <w:tcW w:w="1431"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投标报价（20分）</w:t>
            </w:r>
          </w:p>
        </w:tc>
        <w:tc>
          <w:tcPr>
            <w:tcW w:w="335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以本次最低有效投标报价为基准价，投标报价得分=（基准价/投标报价）×20。报价得分四舍五入，小数点后保留两位有效数。</w:t>
            </w:r>
          </w:p>
        </w:tc>
        <w:tc>
          <w:tcPr>
            <w:tcW w:w="3078"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注：投标人报价明显低于市场价格或其他投标人的有效报价，有可能影响维保质量或不能诚信履约的，评标委员会有权要求提供书面说明或相关佐证材料；投标人不能证明其报价合理性的，评标委员会有权将其作为无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2</w:t>
            </w:r>
          </w:p>
        </w:tc>
        <w:tc>
          <w:tcPr>
            <w:tcW w:w="156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综合能力（1</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1431"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综合能力（1</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1、企业有专用库房，常年备有易损部件，具备得</w:t>
            </w:r>
            <w:r>
              <w:rPr>
                <w:rStyle w:val="22"/>
                <w:rFonts w:hint="eastAsia" w:ascii="宋体" w:hAnsi="宋体" w:cs="宋体"/>
                <w:b w:val="0"/>
                <w:i w:val="0"/>
                <w:caps w:val="0"/>
                <w:color w:val="000000"/>
                <w:spacing w:val="0"/>
                <w:w w:val="100"/>
                <w:sz w:val="24"/>
                <w:szCs w:val="24"/>
                <w:highlight w:val="none"/>
                <w:lang w:val="en-US" w:eastAsia="zh-CN" w:bidi="ar"/>
              </w:rPr>
              <w:t>3</w:t>
            </w:r>
            <w:r>
              <w:rPr>
                <w:rStyle w:val="22"/>
                <w:rFonts w:hint="eastAsia" w:ascii="宋体" w:hAnsi="宋体" w:eastAsia="宋体" w:cs="宋体"/>
                <w:b w:val="0"/>
                <w:i w:val="0"/>
                <w:caps w:val="0"/>
                <w:color w:val="000000"/>
                <w:spacing w:val="0"/>
                <w:w w:val="100"/>
                <w:sz w:val="24"/>
                <w:szCs w:val="24"/>
                <w:highlight w:val="none"/>
                <w:lang w:val="en-US" w:eastAsia="zh-CN" w:bidi="ar"/>
              </w:rPr>
              <w:t>分，未提供证明不得分。</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2、具有有效期内ISO9001，ISO14001，IS18000质量管理体系，全部的6分，具备一项得2分，没有不得分。</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3、具备四川省电梯维护保养星级服务（五星）水平证书，可得</w:t>
            </w:r>
            <w:r>
              <w:rPr>
                <w:rStyle w:val="22"/>
                <w:rFonts w:hint="eastAsia" w:ascii="宋体" w:hAnsi="宋体" w:cs="宋体"/>
                <w:b w:val="0"/>
                <w:i w:val="0"/>
                <w:caps w:val="0"/>
                <w:color w:val="000000"/>
                <w:spacing w:val="0"/>
                <w:w w:val="100"/>
                <w:sz w:val="24"/>
                <w:szCs w:val="24"/>
                <w:highlight w:val="none"/>
                <w:lang w:val="en-US" w:eastAsia="zh-CN" w:bidi="ar"/>
              </w:rPr>
              <w:t>5</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078"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共同评分因素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725"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3</w:t>
            </w:r>
          </w:p>
        </w:tc>
        <w:tc>
          <w:tcPr>
            <w:tcW w:w="156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公司业绩和社保、操作证证明（2</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1431"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业绩（1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提供项目类似业绩合同：截止目前在维保有效期维保合同（以合同维保有效计算），单个合同40台及以上的公共区域（学校、医院、机场、酒店等公共区域项目）类垂直电梯和自动扶梯维护合同。以上每提供一份</w:t>
            </w:r>
            <w:r>
              <w:rPr>
                <w:rStyle w:val="22"/>
                <w:rFonts w:hint="eastAsia" w:ascii="宋体" w:hAnsi="宋体" w:cs="宋体"/>
                <w:b w:val="0"/>
                <w:i w:val="0"/>
                <w:caps w:val="0"/>
                <w:color w:val="000000"/>
                <w:spacing w:val="0"/>
                <w:w w:val="100"/>
                <w:sz w:val="24"/>
                <w:szCs w:val="24"/>
                <w:highlight w:val="none"/>
                <w:lang w:val="en-US" w:eastAsia="zh-CN" w:bidi="ar"/>
              </w:rPr>
              <w:t>3</w:t>
            </w:r>
            <w:r>
              <w:rPr>
                <w:rStyle w:val="22"/>
                <w:rFonts w:hint="eastAsia" w:ascii="宋体" w:hAnsi="宋体" w:eastAsia="宋体" w:cs="宋体"/>
                <w:b w:val="0"/>
                <w:i w:val="0"/>
                <w:caps w:val="0"/>
                <w:color w:val="000000"/>
                <w:spacing w:val="0"/>
                <w:w w:val="100"/>
                <w:sz w:val="24"/>
                <w:szCs w:val="24"/>
                <w:highlight w:val="none"/>
                <w:lang w:val="en-US" w:eastAsia="zh-CN" w:bidi="ar"/>
              </w:rPr>
              <w:t>分，最高评分1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分</w:t>
            </w:r>
            <w:r>
              <w:rPr>
                <w:rStyle w:val="22"/>
                <w:rFonts w:hint="eastAsia" w:ascii="宋体" w:hAnsi="宋体" w:eastAsia="宋体" w:cs="宋体"/>
                <w:b w:val="0"/>
                <w:i w:val="0"/>
                <w:caps w:val="0"/>
                <w:color w:val="000000"/>
                <w:spacing w:val="0"/>
                <w:w w:val="100"/>
                <w:sz w:val="24"/>
                <w:szCs w:val="24"/>
                <w:highlight w:val="none"/>
                <w:lang w:val="en-US" w:eastAsia="zh-CN" w:bidi="ar"/>
              </w:rPr>
              <w:br w:type="textWrapping"/>
            </w:r>
            <w:r>
              <w:rPr>
                <w:rStyle w:val="22"/>
                <w:rFonts w:hint="eastAsia" w:ascii="宋体" w:hAnsi="宋体" w:eastAsia="宋体" w:cs="宋体"/>
                <w:b w:val="0"/>
                <w:i w:val="0"/>
                <w:caps w:val="0"/>
                <w:color w:val="000000"/>
                <w:spacing w:val="0"/>
                <w:w w:val="100"/>
                <w:sz w:val="24"/>
                <w:szCs w:val="24"/>
                <w:highlight w:val="none"/>
                <w:lang w:val="en-US" w:eastAsia="zh-CN" w:bidi="ar"/>
              </w:rPr>
              <w:t>注： 以上业绩需提供合同复印件并加盖公章，原件备查。</w:t>
            </w:r>
          </w:p>
        </w:tc>
        <w:tc>
          <w:tcPr>
            <w:tcW w:w="3078"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共同评分因素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725" w:type="dxa"/>
            <w:vMerge w:val="continue"/>
            <w:tcBorders>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566" w:type="dxa"/>
            <w:vMerge w:val="continue"/>
            <w:tcBorders>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431" w:type="dxa"/>
            <w:tcBorders>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社保且操作证证明（1</w:t>
            </w:r>
            <w:r>
              <w:rPr>
                <w:rStyle w:val="22"/>
                <w:rFonts w:hint="eastAsia" w:ascii="宋体" w:hAnsi="宋体" w:cs="宋体"/>
                <w:b w:val="0"/>
                <w:i w:val="0"/>
                <w:caps w:val="0"/>
                <w:color w:val="000000"/>
                <w:spacing w:val="0"/>
                <w:w w:val="100"/>
                <w:sz w:val="24"/>
                <w:szCs w:val="24"/>
                <w:highlight w:val="none"/>
                <w:lang w:val="en-US" w:eastAsia="zh-CN" w:bidi="ar"/>
              </w:rPr>
              <w:t>7</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tcBorders>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cs="宋体"/>
                <w:b w:val="0"/>
                <w:i w:val="0"/>
                <w:caps w:val="0"/>
                <w:color w:val="000000"/>
                <w:spacing w:val="0"/>
                <w:w w:val="100"/>
                <w:sz w:val="24"/>
                <w:szCs w:val="24"/>
                <w:highlight w:val="none"/>
                <w:lang w:val="en-US" w:eastAsia="zh-CN" w:bidi="ar"/>
              </w:rPr>
              <w:t>1.</w:t>
            </w:r>
            <w:r>
              <w:rPr>
                <w:rStyle w:val="22"/>
                <w:rFonts w:hint="eastAsia" w:ascii="宋体" w:hAnsi="宋体" w:eastAsia="宋体" w:cs="宋体"/>
                <w:b w:val="0"/>
                <w:i w:val="0"/>
                <w:caps w:val="0"/>
                <w:color w:val="000000"/>
                <w:spacing w:val="0"/>
                <w:w w:val="100"/>
                <w:sz w:val="24"/>
                <w:szCs w:val="24"/>
                <w:highlight w:val="none"/>
                <w:lang w:val="en-US" w:eastAsia="zh-CN" w:bidi="ar"/>
              </w:rPr>
              <w:t>投标人管理与技术综合能力：项目负责人具备机电、机械或电气工程等相关专业职称证书，1个得</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分，最多得</w:t>
            </w:r>
            <w:r>
              <w:rPr>
                <w:rStyle w:val="22"/>
                <w:rFonts w:hint="eastAsia" w:ascii="宋体" w:hAnsi="宋体" w:cs="宋体"/>
                <w:b w:val="0"/>
                <w:i w:val="0"/>
                <w:caps w:val="0"/>
                <w:color w:val="000000"/>
                <w:spacing w:val="0"/>
                <w:w w:val="100"/>
                <w:sz w:val="24"/>
                <w:szCs w:val="24"/>
                <w:highlight w:val="none"/>
                <w:lang w:val="en-US" w:eastAsia="zh-CN" w:bidi="ar"/>
              </w:rPr>
              <w:t>8</w:t>
            </w:r>
            <w:r>
              <w:rPr>
                <w:rStyle w:val="22"/>
                <w:rFonts w:hint="eastAsia" w:ascii="宋体" w:hAnsi="宋体" w:eastAsia="宋体" w:cs="宋体"/>
                <w:b w:val="0"/>
                <w:i w:val="0"/>
                <w:caps w:val="0"/>
                <w:color w:val="000000"/>
                <w:spacing w:val="0"/>
                <w:w w:val="100"/>
                <w:sz w:val="24"/>
                <w:szCs w:val="24"/>
                <w:highlight w:val="none"/>
                <w:lang w:val="en-US" w:eastAsia="zh-CN" w:bidi="ar"/>
              </w:rPr>
              <w:t>分，不提供不得分。</w:t>
            </w:r>
            <w:r>
              <w:rPr>
                <w:rStyle w:val="22"/>
                <w:rFonts w:hint="eastAsia" w:ascii="宋体" w:hAnsi="宋体" w:eastAsia="宋体" w:cs="宋体"/>
                <w:b w:val="0"/>
                <w:i w:val="0"/>
                <w:caps w:val="0"/>
                <w:color w:val="000000"/>
                <w:spacing w:val="0"/>
                <w:w w:val="100"/>
                <w:sz w:val="24"/>
                <w:szCs w:val="24"/>
                <w:highlight w:val="none"/>
                <w:lang w:val="en-US" w:eastAsia="zh-CN" w:bidi="ar"/>
              </w:rPr>
              <w:br w:type="textWrapping"/>
            </w:r>
            <w:r>
              <w:rPr>
                <w:rStyle w:val="22"/>
                <w:rFonts w:hint="eastAsia" w:ascii="宋体" w:hAnsi="宋体" w:eastAsia="宋体" w:cs="宋体"/>
                <w:b w:val="0"/>
                <w:i w:val="0"/>
                <w:caps w:val="0"/>
                <w:color w:val="000000"/>
                <w:spacing w:val="0"/>
                <w:w w:val="100"/>
                <w:sz w:val="24"/>
                <w:szCs w:val="24"/>
                <w:highlight w:val="none"/>
                <w:lang w:val="en-US" w:eastAsia="zh-CN" w:bidi="ar"/>
              </w:rPr>
              <w:t>2.拟配置本项目维保人员中每一名三年及以上从业经验特种设备作业人员证书的得</w:t>
            </w:r>
            <w:r>
              <w:rPr>
                <w:rStyle w:val="22"/>
                <w:rFonts w:hint="eastAsia" w:ascii="宋体" w:hAnsi="宋体" w:cs="宋体"/>
                <w:b w:val="0"/>
                <w:i w:val="0"/>
                <w:caps w:val="0"/>
                <w:color w:val="000000"/>
                <w:spacing w:val="0"/>
                <w:w w:val="100"/>
                <w:sz w:val="24"/>
                <w:szCs w:val="24"/>
                <w:highlight w:val="none"/>
                <w:lang w:val="en-US" w:eastAsia="zh-CN" w:bidi="ar"/>
              </w:rPr>
              <w:t>3</w:t>
            </w:r>
            <w:r>
              <w:rPr>
                <w:rStyle w:val="22"/>
                <w:rFonts w:hint="eastAsia" w:ascii="宋体" w:hAnsi="宋体" w:eastAsia="宋体" w:cs="宋体"/>
                <w:b w:val="0"/>
                <w:i w:val="0"/>
                <w:caps w:val="0"/>
                <w:color w:val="000000"/>
                <w:spacing w:val="0"/>
                <w:w w:val="100"/>
                <w:sz w:val="24"/>
                <w:szCs w:val="24"/>
                <w:highlight w:val="none"/>
                <w:lang w:val="en-US" w:eastAsia="zh-CN" w:bidi="ar"/>
              </w:rPr>
              <w:t>分，最多得</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分。</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3.委派至少两名驻场人员。</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注：须提供人员清单及人员相关连续6个月社保证明及从业三年以上工作证明和相关作业人员证书，并加盖公章。</w:t>
            </w:r>
          </w:p>
        </w:tc>
        <w:tc>
          <w:tcPr>
            <w:tcW w:w="3078" w:type="dxa"/>
            <w:tcBorders>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共同评分因素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jc w:val="center"/>
        </w:trPr>
        <w:tc>
          <w:tcPr>
            <w:tcW w:w="725" w:type="dxa"/>
            <w:vMerge w:val="restart"/>
            <w:tcBorders>
              <w:top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4</w:t>
            </w:r>
          </w:p>
        </w:tc>
        <w:tc>
          <w:tcPr>
            <w:tcW w:w="1566"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维保方案和管理体系（</w:t>
            </w:r>
            <w:r>
              <w:rPr>
                <w:rStyle w:val="22"/>
                <w:rFonts w:hint="eastAsia" w:ascii="宋体" w:hAnsi="宋体" w:cs="宋体"/>
                <w:b w:val="0"/>
                <w:i w:val="0"/>
                <w:caps w:val="0"/>
                <w:color w:val="000000"/>
                <w:spacing w:val="0"/>
                <w:w w:val="100"/>
                <w:sz w:val="24"/>
                <w:szCs w:val="24"/>
                <w:highlight w:val="none"/>
                <w:lang w:val="en-US" w:eastAsia="zh-CN" w:bidi="ar"/>
              </w:rPr>
              <w:t>37</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1431" w:type="dxa"/>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维保方案（1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1、内容完整，包括但不限于设施设备维保方案、定期巡检方案、维保人员配置方案、紧急故障处理方案等工作作业方案。优，得</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分；良得</w:t>
            </w:r>
            <w:r>
              <w:rPr>
                <w:rStyle w:val="22"/>
                <w:rFonts w:hint="eastAsia" w:ascii="宋体" w:hAnsi="宋体" w:cs="宋体"/>
                <w:b w:val="0"/>
                <w:i w:val="0"/>
                <w:caps w:val="0"/>
                <w:color w:val="000000"/>
                <w:spacing w:val="0"/>
                <w:w w:val="100"/>
                <w:sz w:val="24"/>
                <w:szCs w:val="24"/>
                <w:highlight w:val="none"/>
                <w:lang w:val="en-US" w:eastAsia="zh-CN" w:bidi="ar"/>
              </w:rPr>
              <w:t>5</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8</w:t>
            </w:r>
            <w:r>
              <w:rPr>
                <w:rStyle w:val="22"/>
                <w:rFonts w:hint="eastAsia" w:ascii="宋体" w:hAnsi="宋体" w:eastAsia="宋体" w:cs="宋体"/>
                <w:b w:val="0"/>
                <w:i w:val="0"/>
                <w:caps w:val="0"/>
                <w:color w:val="000000"/>
                <w:spacing w:val="0"/>
                <w:w w:val="100"/>
                <w:sz w:val="24"/>
                <w:szCs w:val="24"/>
                <w:highlight w:val="none"/>
                <w:lang w:val="en-US" w:eastAsia="zh-CN" w:bidi="ar"/>
              </w:rPr>
              <w:t>分；一般，得</w:t>
            </w:r>
            <w:r>
              <w:rPr>
                <w:rStyle w:val="22"/>
                <w:rFonts w:hint="eastAsia" w:ascii="宋体" w:hAnsi="宋体" w:cs="宋体"/>
                <w:b w:val="0"/>
                <w:i w:val="0"/>
                <w:caps w:val="0"/>
                <w:color w:val="000000"/>
                <w:spacing w:val="0"/>
                <w:w w:val="100"/>
                <w:sz w:val="24"/>
                <w:szCs w:val="24"/>
                <w:highlight w:val="none"/>
                <w:lang w:val="en-US" w:eastAsia="zh-CN" w:bidi="ar"/>
              </w:rPr>
              <w:t>1</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分。未提供作业方案或与本次采购不符合的不得分。</w:t>
            </w:r>
          </w:p>
        </w:tc>
        <w:tc>
          <w:tcPr>
            <w:tcW w:w="3078" w:type="dxa"/>
            <w:tcBorders>
              <w:top w:val="single" w:color="auto" w:sz="4" w:space="0"/>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技术评分因素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725" w:type="dxa"/>
            <w:vMerge w:val="continue"/>
            <w:tcBorders>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56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431" w:type="dxa"/>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应急预案（1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根据投标人应急预案的科学性、周密性及可操作性，重要环节控制措施的详尽性进行综合比较评分：内容合理且优秀得1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分；内容良好得</w:t>
            </w:r>
            <w:r>
              <w:rPr>
                <w:rStyle w:val="22"/>
                <w:rFonts w:hint="eastAsia" w:ascii="宋体" w:hAnsi="宋体" w:cs="宋体"/>
                <w:b w:val="0"/>
                <w:i w:val="0"/>
                <w:caps w:val="0"/>
                <w:color w:val="000000"/>
                <w:spacing w:val="0"/>
                <w:w w:val="100"/>
                <w:sz w:val="24"/>
                <w:szCs w:val="24"/>
                <w:highlight w:val="none"/>
                <w:lang w:val="en-US" w:eastAsia="zh-CN" w:bidi="ar"/>
              </w:rPr>
              <w:t>8</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5</w:t>
            </w:r>
            <w:r>
              <w:rPr>
                <w:rStyle w:val="22"/>
                <w:rFonts w:hint="eastAsia" w:ascii="宋体" w:hAnsi="宋体" w:eastAsia="宋体" w:cs="宋体"/>
                <w:b w:val="0"/>
                <w:i w:val="0"/>
                <w:caps w:val="0"/>
                <w:color w:val="000000"/>
                <w:spacing w:val="0"/>
                <w:w w:val="100"/>
                <w:sz w:val="24"/>
                <w:szCs w:val="24"/>
                <w:highlight w:val="none"/>
                <w:lang w:val="en-US" w:eastAsia="zh-CN" w:bidi="ar"/>
              </w:rPr>
              <w:t>分；内容一般得</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-1分,未提供不得分；未提供作业方案或与本次采购不符合的不得分。</w:t>
            </w:r>
          </w:p>
        </w:tc>
        <w:tc>
          <w:tcPr>
            <w:tcW w:w="3078" w:type="dxa"/>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技术评分因素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725" w:type="dxa"/>
            <w:vMerge w:val="continue"/>
            <w:tcBorders>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56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431" w:type="dxa"/>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售后质量保障措施（</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针对本项目的售后保障措施，具体内容包括不限于：1.维护内容；2.售后服务流程方案，内容合理且优秀得</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7</w:t>
            </w:r>
            <w:r>
              <w:rPr>
                <w:rStyle w:val="22"/>
                <w:rFonts w:hint="eastAsia" w:ascii="宋体" w:hAnsi="宋体" w:eastAsia="宋体" w:cs="宋体"/>
                <w:b w:val="0"/>
                <w:i w:val="0"/>
                <w:caps w:val="0"/>
                <w:color w:val="000000"/>
                <w:spacing w:val="0"/>
                <w:w w:val="100"/>
                <w:sz w:val="24"/>
                <w:szCs w:val="24"/>
                <w:highlight w:val="none"/>
                <w:lang w:val="en-US" w:eastAsia="zh-CN" w:bidi="ar"/>
              </w:rPr>
              <w:t>分；内容良好得</w:t>
            </w:r>
            <w:r>
              <w:rPr>
                <w:rStyle w:val="22"/>
                <w:rFonts w:hint="eastAsia" w:ascii="宋体" w:hAnsi="宋体" w:cs="宋体"/>
                <w:b w:val="0"/>
                <w:i w:val="0"/>
                <w:caps w:val="0"/>
                <w:color w:val="000000"/>
                <w:spacing w:val="0"/>
                <w:w w:val="100"/>
                <w:sz w:val="24"/>
                <w:szCs w:val="24"/>
                <w:highlight w:val="none"/>
                <w:lang w:val="en-US" w:eastAsia="zh-CN" w:bidi="ar"/>
              </w:rPr>
              <w:t>6</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分；内容一般得1-</w:t>
            </w:r>
            <w:r>
              <w:rPr>
                <w:rStyle w:val="22"/>
                <w:rFonts w:hint="eastAsia" w:ascii="宋体" w:hAnsi="宋体" w:cs="宋体"/>
                <w:b w:val="0"/>
                <w:i w:val="0"/>
                <w:caps w:val="0"/>
                <w:color w:val="000000"/>
                <w:spacing w:val="0"/>
                <w:w w:val="100"/>
                <w:sz w:val="24"/>
                <w:szCs w:val="24"/>
                <w:highlight w:val="none"/>
                <w:lang w:val="en-US" w:eastAsia="zh-CN" w:bidi="ar"/>
              </w:rPr>
              <w:t>3</w:t>
            </w:r>
            <w:r>
              <w:rPr>
                <w:rStyle w:val="22"/>
                <w:rFonts w:hint="eastAsia" w:ascii="宋体" w:hAnsi="宋体" w:eastAsia="宋体" w:cs="宋体"/>
                <w:b w:val="0"/>
                <w:i w:val="0"/>
                <w:caps w:val="0"/>
                <w:color w:val="000000"/>
                <w:spacing w:val="0"/>
                <w:w w:val="100"/>
                <w:sz w:val="24"/>
                <w:szCs w:val="24"/>
                <w:highlight w:val="none"/>
                <w:lang w:val="en-US" w:eastAsia="zh-CN" w:bidi="ar"/>
              </w:rPr>
              <w:t>分,未提供不得分。</w:t>
            </w:r>
          </w:p>
        </w:tc>
        <w:tc>
          <w:tcPr>
            <w:tcW w:w="3078" w:type="dxa"/>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725" w:type="dxa"/>
            <w:vMerge w:val="continue"/>
            <w:tcBorders>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566"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431" w:type="dxa"/>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技术保障（</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具有迅达电梯制作商的品牌技术支持保障，提供得</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分，无见证材料0分。</w:t>
            </w:r>
          </w:p>
        </w:tc>
        <w:tc>
          <w:tcPr>
            <w:tcW w:w="3078" w:type="dxa"/>
            <w:tcBorders>
              <w:left w:val="single" w:color="auto" w:sz="4" w:space="0"/>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共同评分因素</w:t>
            </w:r>
          </w:p>
        </w:tc>
      </w:tr>
    </w:tbl>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Fonts w:hint="eastAsia" w:ascii="宋体" w:hAnsi="宋体" w:eastAsia="宋体" w:cs="宋体"/>
          <w:b w:val="0"/>
          <w:i w:val="0"/>
          <w:caps w:val="0"/>
          <w:spacing w:val="0"/>
          <w:w w:val="100"/>
          <w:sz w:val="24"/>
          <w:szCs w:val="24"/>
          <w:highlight w:val="none"/>
        </w:rPr>
      </w:pPr>
      <w:r>
        <w:rPr>
          <w:rStyle w:val="22"/>
          <w:rFonts w:hint="eastAsia" w:ascii="宋体" w:hAnsi="宋体" w:eastAsia="宋体" w:cs="宋体"/>
          <w:b w:val="0"/>
          <w:i w:val="0"/>
          <w:caps w:val="0"/>
          <w:color w:val="000000"/>
          <w:spacing w:val="0"/>
          <w:w w:val="100"/>
          <w:sz w:val="24"/>
          <w:szCs w:val="24"/>
          <w:highlight w:val="none"/>
          <w:lang w:val="en-US" w:eastAsia="zh-CN" w:bidi="ar"/>
        </w:rPr>
        <w:t xml:space="preserve">（满分：100分）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lang w:val="en-US" w:eastAsia="zh-CN"/>
        </w:rPr>
        <w:t>七</w:t>
      </w:r>
      <w:r>
        <w:rPr>
          <w:rFonts w:hint="eastAsia" w:ascii="宋体" w:hAnsi="宋体" w:eastAsia="宋体" w:cs="宋体"/>
          <w:b/>
          <w:bCs/>
          <w:i w:val="0"/>
          <w:caps w:val="0"/>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上班时间为8：00—12：00（上午），14：00—17：30（下午）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lang w:val="en-US" w:eastAsia="zh-CN"/>
        </w:rPr>
      </w:pPr>
      <w:r>
        <w:rPr>
          <w:rFonts w:hint="eastAsia" w:ascii="宋体" w:hAnsi="宋体" w:eastAsia="宋体" w:cs="宋体"/>
          <w:b w:val="0"/>
          <w:i w:val="0"/>
          <w:caps w:val="0"/>
          <w:spacing w:val="0"/>
          <w:w w:val="100"/>
          <w:sz w:val="24"/>
          <w:szCs w:val="24"/>
          <w:highlight w:val="none"/>
        </w:rPr>
        <w:t>联系电话</w:t>
      </w:r>
      <w:r>
        <w:rPr>
          <w:rFonts w:hint="eastAsia" w:ascii="宋体" w:hAnsi="宋体" w:eastAsia="宋体" w:cs="宋体"/>
          <w:b w:val="0"/>
          <w:i w:val="0"/>
          <w:caps w:val="0"/>
          <w:spacing w:val="0"/>
          <w:w w:val="100"/>
          <w:sz w:val="24"/>
          <w:szCs w:val="24"/>
          <w:highlight w:val="none"/>
          <w:lang w:val="en-US" w:eastAsia="zh-CN"/>
        </w:rPr>
        <w:t>028-</w:t>
      </w:r>
      <w:r>
        <w:rPr>
          <w:rFonts w:hint="eastAsia" w:ascii="宋体" w:hAnsi="宋体" w:eastAsia="宋体" w:cs="宋体"/>
          <w:b w:val="0"/>
          <w:i w:val="0"/>
          <w:caps w:val="0"/>
          <w:spacing w:val="0"/>
          <w:w w:val="100"/>
          <w:sz w:val="24"/>
          <w:szCs w:val="24"/>
          <w:highlight w:val="none"/>
        </w:rPr>
        <w:t>659782</w:t>
      </w:r>
      <w:r>
        <w:rPr>
          <w:rFonts w:hint="eastAsia" w:ascii="宋体" w:hAnsi="宋体" w:eastAsia="宋体" w:cs="宋体"/>
          <w:b w:val="0"/>
          <w:i w:val="0"/>
          <w:caps w:val="0"/>
          <w:spacing w:val="0"/>
          <w:w w:val="100"/>
          <w:sz w:val="24"/>
          <w:szCs w:val="24"/>
          <w:highlight w:val="none"/>
          <w:lang w:val="en-US" w:eastAsia="zh-CN"/>
        </w:rPr>
        <w:t>23</w:t>
      </w:r>
    </w:p>
    <w:p>
      <w:pPr>
        <w:pStyle w:val="5"/>
        <w:pageBreakBefore w:val="0"/>
        <w:numPr>
          <w:ilvl w:val="0"/>
          <w:numId w:val="0"/>
        </w:numPr>
        <w:kinsoku/>
        <w:wordWrap/>
        <w:overflowPunct/>
        <w:topLinePunct w:val="0"/>
        <w:autoSpaceDE/>
        <w:autoSpaceDN/>
        <w:bidi w:val="0"/>
        <w:spacing w:line="360" w:lineRule="auto"/>
        <w:rPr>
          <w:rFonts w:hint="default"/>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pStyle w:val="2"/>
        <w:keepNext w:val="0"/>
        <w:keepLines w:val="0"/>
        <w:pageBreakBefore w:val="0"/>
        <w:kinsoku/>
        <w:wordWrap/>
        <w:overflowPunct/>
        <w:topLinePunct w:val="0"/>
        <w:autoSpaceDE/>
        <w:autoSpaceDN/>
        <w:bidi w:val="0"/>
        <w:spacing w:line="360" w:lineRule="auto"/>
        <w:jc w:val="center"/>
        <w:rPr>
          <w:rFonts w:hint="eastAsia" w:ascii="宋体" w:hAnsi="宋体" w:eastAsia="宋体" w:cs="宋体"/>
          <w:sz w:val="24"/>
          <w:szCs w:val="24"/>
          <w:lang w:val="en-US"/>
        </w:rPr>
      </w:pPr>
      <w:r>
        <w:rPr>
          <w:rFonts w:hint="eastAsia" w:ascii="宋体" w:hAnsi="宋体" w:eastAsia="宋体" w:cs="宋体"/>
          <w:color w:val="auto"/>
          <w:kern w:val="0"/>
          <w:sz w:val="24"/>
          <w:szCs w:val="24"/>
          <w:highlight w:val="none"/>
          <w:lang w:val="en-US" w:eastAsia="zh-CN"/>
        </w:rPr>
        <w:t>报价一览表</w:t>
      </w:r>
    </w:p>
    <w:tbl>
      <w:tblPr>
        <w:tblStyle w:val="12"/>
        <w:tblW w:w="69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1684"/>
        <w:gridCol w:w="1031"/>
        <w:gridCol w:w="1560"/>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19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序号</w:t>
            </w:r>
          </w:p>
        </w:tc>
        <w:tc>
          <w:tcPr>
            <w:tcW w:w="168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项目名称</w:t>
            </w:r>
          </w:p>
        </w:tc>
        <w:tc>
          <w:tcPr>
            <w:tcW w:w="1031"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数量</w:t>
            </w:r>
          </w:p>
        </w:tc>
        <w:tc>
          <w:tcPr>
            <w:tcW w:w="1560"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金额（万元）</w:t>
            </w:r>
          </w:p>
        </w:tc>
        <w:tc>
          <w:tcPr>
            <w:tcW w:w="1497"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9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tc>
        <w:tc>
          <w:tcPr>
            <w:tcW w:w="168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tc>
        <w:tc>
          <w:tcPr>
            <w:tcW w:w="1031"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c>
          <w:tcPr>
            <w:tcW w:w="1560"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c>
          <w:tcPr>
            <w:tcW w:w="1497"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9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c>
          <w:tcPr>
            <w:tcW w:w="168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合计</w:t>
            </w:r>
          </w:p>
        </w:tc>
        <w:tc>
          <w:tcPr>
            <w:tcW w:w="1031"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c>
          <w:tcPr>
            <w:tcW w:w="1560"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c>
          <w:tcPr>
            <w:tcW w:w="1497"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keepNext w:val="0"/>
        <w:keepLines w:val="0"/>
        <w:pageBreakBefore w:val="0"/>
        <w:widowControl/>
        <w:numPr>
          <w:ilvl w:val="0"/>
          <w:numId w:val="6"/>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val="0"/>
          <w:i w:val="0"/>
          <w:caps w:val="0"/>
          <w:spacing w:val="0"/>
          <w:w w:val="100"/>
          <w:sz w:val="24"/>
          <w:szCs w:val="24"/>
          <w:highlight w:val="none"/>
        </w:rPr>
        <w:t>报价应是最终用户验收合格后的总价，税费、采购文件规定的其它费用</w:t>
      </w:r>
      <w:r>
        <w:rPr>
          <w:rFonts w:hint="eastAsia" w:ascii="宋体" w:hAnsi="宋体" w:eastAsia="宋体" w:cs="宋体"/>
          <w:color w:val="auto"/>
          <w:kern w:val="0"/>
          <w:sz w:val="24"/>
          <w:szCs w:val="24"/>
          <w:highlight w:val="none"/>
        </w:rPr>
        <w:t>。</w:t>
      </w:r>
    </w:p>
    <w:p>
      <w:pPr>
        <w:keepNext w:val="0"/>
        <w:keepLines w:val="0"/>
        <w:pageBreakBefore w:val="0"/>
        <w:widowControl/>
        <w:numPr>
          <w:ilvl w:val="0"/>
          <w:numId w:val="6"/>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keepNext w:val="0"/>
        <w:keepLines w:val="0"/>
        <w:pageBreakBefore w:val="0"/>
        <w:widowControl/>
        <w:numPr>
          <w:ilvl w:val="0"/>
          <w:numId w:val="6"/>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w:t>
      </w: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7"/>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10"/>
        <w:keepNext w:val="0"/>
        <w:keepLines w:val="0"/>
        <w:pageBreakBefore w:val="0"/>
        <w:widowControl/>
        <w:suppressLineNumbers w:val="0"/>
        <w:kinsoku/>
        <w:wordWrap/>
        <w:overflowPunct/>
        <w:topLinePunct w:val="0"/>
        <w:autoSpaceDE/>
        <w:autoSpaceDN/>
        <w:bidi w:val="0"/>
        <w:adjustRightInd/>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商务、</w:t>
      </w:r>
      <w:r>
        <w:rPr>
          <w:rFonts w:hint="eastAsia" w:ascii="宋体" w:hAnsi="宋体" w:eastAsia="宋体" w:cs="宋体"/>
          <w:b/>
          <w:sz w:val="24"/>
          <w:szCs w:val="24"/>
        </w:rPr>
        <w:t>技术、服务响应/偏离表 </w:t>
      </w:r>
    </w:p>
    <w:p>
      <w:pPr>
        <w:pStyle w:val="10"/>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b/>
          <w:sz w:val="24"/>
          <w:szCs w:val="24"/>
          <w:u w:val="single"/>
        </w:rPr>
      </w:pPr>
      <w:r>
        <w:rPr>
          <w:rFonts w:hint="eastAsia" w:ascii="宋体" w:hAnsi="宋体" w:eastAsia="宋体" w:cs="宋体"/>
          <w:b/>
          <w:sz w:val="24"/>
          <w:szCs w:val="24"/>
        </w:rPr>
        <w:t>供应商名称：</w:t>
      </w:r>
      <w:r>
        <w:rPr>
          <w:rFonts w:hint="eastAsia" w:ascii="宋体" w:hAnsi="宋体" w:eastAsia="宋体" w:cs="宋体"/>
          <w:b/>
          <w:sz w:val="24"/>
          <w:szCs w:val="24"/>
          <w:u w:val="single"/>
        </w:rPr>
        <w:t>             </w:t>
      </w:r>
    </w:p>
    <w:p>
      <w:pPr>
        <w:pStyle w:val="10"/>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sz w:val="24"/>
          <w:szCs w:val="24"/>
        </w:rPr>
      </w:pPr>
      <w:r>
        <w:rPr>
          <w:rFonts w:hint="eastAsia" w:ascii="宋体" w:hAnsi="宋体" w:eastAsia="宋体" w:cs="宋体"/>
          <w:b/>
          <w:sz w:val="24"/>
          <w:szCs w:val="24"/>
        </w:rPr>
        <w:t>采购编号：</w:t>
      </w:r>
      <w:r>
        <w:rPr>
          <w:rFonts w:hint="eastAsia" w:ascii="宋体" w:hAnsi="宋体" w:eastAsia="宋体" w:cs="宋体"/>
          <w:b/>
          <w:sz w:val="24"/>
          <w:szCs w:val="24"/>
          <w:u w:val="single"/>
        </w:rPr>
        <w:t>             </w:t>
      </w:r>
      <w:r>
        <w:rPr>
          <w:rFonts w:hint="eastAsia" w:ascii="宋体" w:hAnsi="宋体" w:eastAsia="宋体" w:cs="宋体"/>
          <w:b/>
          <w:sz w:val="24"/>
          <w:szCs w:val="24"/>
        </w:rPr>
        <w:t> </w:t>
      </w:r>
    </w:p>
    <w:tbl>
      <w:tblPr>
        <w:tblStyle w:val="12"/>
        <w:tblW w:w="856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735"/>
        <w:gridCol w:w="1989"/>
        <w:gridCol w:w="1665"/>
        <w:gridCol w:w="2736"/>
        <w:gridCol w:w="14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645" w:hRule="atLeast"/>
        </w:trPr>
        <w:tc>
          <w:tcPr>
            <w:tcW w:w="73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98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文件条目号</w:t>
            </w:r>
          </w:p>
        </w:tc>
        <w:tc>
          <w:tcPr>
            <w:tcW w:w="166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文件要求</w:t>
            </w:r>
          </w:p>
        </w:tc>
        <w:tc>
          <w:tcPr>
            <w:tcW w:w="27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响应文件响应说明</w:t>
            </w:r>
          </w:p>
        </w:tc>
        <w:tc>
          <w:tcPr>
            <w:tcW w:w="144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响应/偏离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bl>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供应商名称：         （盖章）</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法定代表人/单位负责人或授权代表（签字或加盖个人名章）：</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日期:</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注：</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lang w:val="en-US" w:eastAsia="zh-CN"/>
        </w:rPr>
      </w:pPr>
      <w:r>
        <w:rPr>
          <w:rFonts w:hint="eastAsia" w:ascii="宋体" w:hAnsi="宋体" w:eastAsia="宋体" w:cs="宋体"/>
          <w:sz w:val="24"/>
          <w:szCs w:val="24"/>
        </w:rPr>
        <w:t>供应商必须据实填写，不得虚假应答，否则将取消其报价或成交资格。如与磋商文件所列★技术相关条款如有偏离条款，请将偏离条款逐条应答。未明确偏离的条款，视为默认接受，供应商不得籍未作应答而拒不接受。</w:t>
      </w:r>
      <w:r>
        <w:rPr>
          <w:rFonts w:hint="eastAsia" w:ascii="宋体" w:hAnsi="宋体" w:eastAsia="宋体" w:cs="宋体"/>
          <w:sz w:val="24"/>
          <w:szCs w:val="24"/>
          <w:lang w:val="en-US" w:eastAsia="zh-CN"/>
        </w:rPr>
        <w:t>如无偏离，请填写无偏离或正偏离。</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rPr>
      </w:pPr>
      <w:r>
        <w:rPr>
          <w:rFonts w:hint="eastAsia" w:ascii="宋体" w:hAnsi="宋体" w:eastAsia="宋体" w:cs="宋体"/>
          <w:sz w:val="24"/>
          <w:szCs w:val="24"/>
        </w:rPr>
        <w:t>若磋商文件中有要求提供证明材料的技术条款应当在此表中列出并应答。</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7"/>
        <w:keepNext w:val="0"/>
        <w:keepLines w:val="0"/>
        <w:pageBreakBefore w:val="0"/>
        <w:kinsoku/>
        <w:wordWrap/>
        <w:overflowPunct/>
        <w:topLinePunct w:val="0"/>
        <w:autoSpaceDE/>
        <w:autoSpaceDN/>
        <w:bidi w:val="0"/>
        <w:spacing w:line="360" w:lineRule="auto"/>
        <w:ind w:left="0" w:leftChars="0" w:firstLine="0" w:firstLineChars="0"/>
        <w:rPr>
          <w:rFonts w:hint="eastAsia" w:ascii="宋体" w:hAnsi="宋体" w:eastAsia="宋体" w:cs="宋体"/>
          <w:b/>
          <w:bCs/>
          <w:color w:val="auto"/>
          <w:sz w:val="24"/>
          <w:szCs w:val="24"/>
          <w:highlight w:val="none"/>
        </w:rPr>
      </w:pPr>
    </w:p>
    <w:p>
      <w:pPr>
        <w:pStyle w:val="17"/>
        <w:keepNext w:val="0"/>
        <w:keepLines w:val="0"/>
        <w:pageBreakBefore w:val="0"/>
        <w:kinsoku/>
        <w:wordWrap/>
        <w:overflowPunct/>
        <w:topLinePunct w:val="0"/>
        <w:autoSpaceDE/>
        <w:autoSpaceDN/>
        <w:bidi w:val="0"/>
        <w:snapToGrid w:val="0"/>
        <w:spacing w:beforeLines="100" w:afterLines="100" w:line="360" w:lineRule="auto"/>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shd w:val="clear" w:color="auto" w:fill="FFFFFF"/>
        </w:rPr>
        <w:t>良好的商业信誉和健全的财务会计制度</w:t>
      </w:r>
      <w:r>
        <w:rPr>
          <w:rFonts w:hint="eastAsia" w:ascii="宋体" w:hAnsi="宋体" w:eastAsia="宋体" w:cs="宋体"/>
          <w:i w:val="0"/>
          <w:iCs w:val="0"/>
          <w:caps w:val="0"/>
          <w:color w:val="auto"/>
          <w:spacing w:val="0"/>
          <w:sz w:val="24"/>
          <w:szCs w:val="24"/>
          <w:highlight w:val="none"/>
          <w:shd w:val="clear" w:color="auto" w:fill="FFFFFF"/>
          <w:lang w:val="en-US" w:eastAsia="zh-CN"/>
        </w:rPr>
        <w:t>的承诺函</w:t>
      </w:r>
    </w:p>
    <w:p>
      <w:pPr>
        <w:keepNext w:val="0"/>
        <w:keepLines w:val="0"/>
        <w:pageBreakBefore w:val="0"/>
        <w:kinsoku/>
        <w:wordWrap/>
        <w:overflowPunct/>
        <w:topLinePunct w:val="0"/>
        <w:autoSpaceDE/>
        <w:autoSpaceDN/>
        <w:bidi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keepNext w:val="0"/>
        <w:keepLines w:val="0"/>
        <w:pageBreakBefore w:val="0"/>
        <w:kinsoku/>
        <w:wordWrap/>
        <w:overflowPunct/>
        <w:topLinePunct w:val="0"/>
        <w:autoSpaceDE/>
        <w:autoSpaceDN/>
        <w:bidi w:val="0"/>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具有履行合同所必须的设备和专业技术能力</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8"/>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8"/>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8"/>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11"/>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pStyle w:val="11"/>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p>
    <w:p>
      <w:pPr>
        <w:pageBreakBefore w:val="0"/>
        <w:kinsoku/>
        <w:wordWrap/>
        <w:overflowPunct/>
        <w:topLinePunct w:val="0"/>
        <w:autoSpaceDE/>
        <w:autoSpaceDN/>
        <w:bidi w:val="0"/>
        <w:spacing w:line="360" w:lineRule="auto"/>
      </w:pP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4BE70B"/>
    <w:multiLevelType w:val="singleLevel"/>
    <w:tmpl w:val="9B4BE70B"/>
    <w:lvl w:ilvl="0" w:tentative="0">
      <w:start w:val="1"/>
      <w:numFmt w:val="decimal"/>
      <w:lvlText w:val="%1."/>
      <w:lvlJc w:val="left"/>
      <w:pPr>
        <w:ind w:left="425" w:hanging="425"/>
      </w:pPr>
      <w:rPr>
        <w:rFonts w:hint="default"/>
      </w:r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BC65D68B"/>
    <w:multiLevelType w:val="singleLevel"/>
    <w:tmpl w:val="BC65D68B"/>
    <w:lvl w:ilvl="0" w:tentative="0">
      <w:start w:val="5"/>
      <w:numFmt w:val="decimal"/>
      <w:lvlText w:val="%1."/>
      <w:lvlJc w:val="left"/>
      <w:pPr>
        <w:tabs>
          <w:tab w:val="left" w:pos="312"/>
        </w:tabs>
      </w:pPr>
    </w:lvl>
  </w:abstractNum>
  <w:abstractNum w:abstractNumId="3">
    <w:nsid w:val="E66A6062"/>
    <w:multiLevelType w:val="singleLevel"/>
    <w:tmpl w:val="E66A6062"/>
    <w:lvl w:ilvl="0" w:tentative="0">
      <w:start w:val="1"/>
      <w:numFmt w:val="decimal"/>
      <w:lvlText w:val="%1."/>
      <w:lvlJc w:val="left"/>
      <w:pPr>
        <w:tabs>
          <w:tab w:val="left" w:pos="312"/>
        </w:tabs>
      </w:pPr>
    </w:lvl>
  </w:abstractNum>
  <w:abstractNum w:abstractNumId="4">
    <w:nsid w:val="E7D40861"/>
    <w:multiLevelType w:val="singleLevel"/>
    <w:tmpl w:val="E7D40861"/>
    <w:lvl w:ilvl="0" w:tentative="0">
      <w:start w:val="7"/>
      <w:numFmt w:val="decimal"/>
      <w:lvlText w:val="%1."/>
      <w:lvlJc w:val="left"/>
      <w:pPr>
        <w:tabs>
          <w:tab w:val="left" w:pos="312"/>
        </w:tabs>
      </w:pPr>
    </w:lvl>
  </w:abstractNum>
  <w:abstractNum w:abstractNumId="5">
    <w:nsid w:val="38306FA8"/>
    <w:multiLevelType w:val="singleLevel"/>
    <w:tmpl w:val="38306FA8"/>
    <w:lvl w:ilvl="0" w:tentative="0">
      <w:start w:val="4"/>
      <w:numFmt w:val="chineseCounting"/>
      <w:suff w:val="space"/>
      <w:lvlText w:val="%1、"/>
      <w:lvlJc w:val="left"/>
      <w:rPr>
        <w:rFonts w:hint="eastAsia"/>
      </w:rPr>
    </w:lvl>
  </w:abstractNum>
  <w:abstractNum w:abstractNumId="6">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7">
    <w:nsid w:val="6B2626F5"/>
    <w:multiLevelType w:val="singleLevel"/>
    <w:tmpl w:val="6B2626F5"/>
    <w:lvl w:ilvl="0" w:tentative="0">
      <w:start w:val="1"/>
      <w:numFmt w:val="decimal"/>
      <w:lvlText w:val="(%1)"/>
      <w:lvlJc w:val="left"/>
      <w:pPr>
        <w:ind w:left="425" w:hanging="425"/>
      </w:pPr>
      <w:rPr>
        <w:rFonts w:hint="default"/>
      </w:rPr>
    </w:lvl>
  </w:abstractNum>
  <w:num w:numId="1">
    <w:abstractNumId w:val="3"/>
  </w:num>
  <w:num w:numId="2">
    <w:abstractNumId w:val="2"/>
  </w:num>
  <w:num w:numId="3">
    <w:abstractNumId w:val="7"/>
  </w:num>
  <w:num w:numId="4">
    <w:abstractNumId w:val="4"/>
  </w:num>
  <w:num w:numId="5">
    <w:abstractNumId w:val="5"/>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6548B4"/>
    <w:rsid w:val="00984987"/>
    <w:rsid w:val="00B249B3"/>
    <w:rsid w:val="01582E9F"/>
    <w:rsid w:val="022561DB"/>
    <w:rsid w:val="024B5F91"/>
    <w:rsid w:val="02E53A75"/>
    <w:rsid w:val="0423435A"/>
    <w:rsid w:val="045647A9"/>
    <w:rsid w:val="04C176DC"/>
    <w:rsid w:val="0524197F"/>
    <w:rsid w:val="05CD03BE"/>
    <w:rsid w:val="05CD28F1"/>
    <w:rsid w:val="064E305B"/>
    <w:rsid w:val="06B71706"/>
    <w:rsid w:val="06DD6561"/>
    <w:rsid w:val="06E15158"/>
    <w:rsid w:val="07AF5FEE"/>
    <w:rsid w:val="088710D9"/>
    <w:rsid w:val="08CA20FD"/>
    <w:rsid w:val="094F5478"/>
    <w:rsid w:val="09F4147B"/>
    <w:rsid w:val="0A277760"/>
    <w:rsid w:val="0ACF324E"/>
    <w:rsid w:val="0B565E48"/>
    <w:rsid w:val="0B5E2A33"/>
    <w:rsid w:val="0BD02D72"/>
    <w:rsid w:val="0C1A446B"/>
    <w:rsid w:val="0CC42C4A"/>
    <w:rsid w:val="0CE1020E"/>
    <w:rsid w:val="0CE90D83"/>
    <w:rsid w:val="0D272843"/>
    <w:rsid w:val="0DEB6977"/>
    <w:rsid w:val="0E1B1632"/>
    <w:rsid w:val="0F4628CF"/>
    <w:rsid w:val="0F71729A"/>
    <w:rsid w:val="0F914A2F"/>
    <w:rsid w:val="0FC30CF8"/>
    <w:rsid w:val="0FD4292A"/>
    <w:rsid w:val="0FF756C0"/>
    <w:rsid w:val="10863CAA"/>
    <w:rsid w:val="109819C6"/>
    <w:rsid w:val="112F7D4C"/>
    <w:rsid w:val="114C276E"/>
    <w:rsid w:val="11584002"/>
    <w:rsid w:val="11AC3A8C"/>
    <w:rsid w:val="11F34201"/>
    <w:rsid w:val="129243DD"/>
    <w:rsid w:val="12BB52A2"/>
    <w:rsid w:val="12CB3CF7"/>
    <w:rsid w:val="13E76168"/>
    <w:rsid w:val="146849E3"/>
    <w:rsid w:val="15855BCE"/>
    <w:rsid w:val="15B71161"/>
    <w:rsid w:val="16404810"/>
    <w:rsid w:val="16795C6E"/>
    <w:rsid w:val="177F6166"/>
    <w:rsid w:val="192B394B"/>
    <w:rsid w:val="193C34F7"/>
    <w:rsid w:val="196B01BF"/>
    <w:rsid w:val="198A015E"/>
    <w:rsid w:val="1A8B0593"/>
    <w:rsid w:val="1C151423"/>
    <w:rsid w:val="1C8F0169"/>
    <w:rsid w:val="1C962C76"/>
    <w:rsid w:val="1D7B096A"/>
    <w:rsid w:val="1D7D134A"/>
    <w:rsid w:val="1DC80A69"/>
    <w:rsid w:val="1E9514A0"/>
    <w:rsid w:val="1F051509"/>
    <w:rsid w:val="1FD72787"/>
    <w:rsid w:val="20AF2A2B"/>
    <w:rsid w:val="20EF1296"/>
    <w:rsid w:val="2161289E"/>
    <w:rsid w:val="21AD5563"/>
    <w:rsid w:val="221029F2"/>
    <w:rsid w:val="231A50A3"/>
    <w:rsid w:val="23305048"/>
    <w:rsid w:val="2412563B"/>
    <w:rsid w:val="2487307B"/>
    <w:rsid w:val="24F76BB2"/>
    <w:rsid w:val="25101CDA"/>
    <w:rsid w:val="2559103D"/>
    <w:rsid w:val="25685003"/>
    <w:rsid w:val="256C23F4"/>
    <w:rsid w:val="25824395"/>
    <w:rsid w:val="25C97BEE"/>
    <w:rsid w:val="2647305C"/>
    <w:rsid w:val="26E41B28"/>
    <w:rsid w:val="277964E9"/>
    <w:rsid w:val="281955CF"/>
    <w:rsid w:val="281D195D"/>
    <w:rsid w:val="29266E1A"/>
    <w:rsid w:val="29A02082"/>
    <w:rsid w:val="2A044599"/>
    <w:rsid w:val="2A0F7B8F"/>
    <w:rsid w:val="2B05240B"/>
    <w:rsid w:val="2BF4266B"/>
    <w:rsid w:val="2CB371D5"/>
    <w:rsid w:val="2CF3776A"/>
    <w:rsid w:val="2D0C3CF4"/>
    <w:rsid w:val="2D611200"/>
    <w:rsid w:val="2D7F4851"/>
    <w:rsid w:val="2E24194D"/>
    <w:rsid w:val="2EFF545B"/>
    <w:rsid w:val="2FAC3343"/>
    <w:rsid w:val="30806B9E"/>
    <w:rsid w:val="30B43B75"/>
    <w:rsid w:val="31650772"/>
    <w:rsid w:val="31E9143D"/>
    <w:rsid w:val="323A13F3"/>
    <w:rsid w:val="325D41F6"/>
    <w:rsid w:val="32AB622F"/>
    <w:rsid w:val="32B026B6"/>
    <w:rsid w:val="32C45245"/>
    <w:rsid w:val="33886860"/>
    <w:rsid w:val="33AC7480"/>
    <w:rsid w:val="34A55F9D"/>
    <w:rsid w:val="34BE33D7"/>
    <w:rsid w:val="35083B0F"/>
    <w:rsid w:val="35344E80"/>
    <w:rsid w:val="35B83942"/>
    <w:rsid w:val="35DB18E9"/>
    <w:rsid w:val="361A126B"/>
    <w:rsid w:val="36422592"/>
    <w:rsid w:val="36545D30"/>
    <w:rsid w:val="36BF0CFE"/>
    <w:rsid w:val="37671CCB"/>
    <w:rsid w:val="383D10D3"/>
    <w:rsid w:val="39487007"/>
    <w:rsid w:val="39A43E9E"/>
    <w:rsid w:val="3AF55DC9"/>
    <w:rsid w:val="3BC236C1"/>
    <w:rsid w:val="3BDD1C9A"/>
    <w:rsid w:val="3C6234CA"/>
    <w:rsid w:val="3D5123A5"/>
    <w:rsid w:val="3E3C3D7F"/>
    <w:rsid w:val="3ECA2888"/>
    <w:rsid w:val="3F0F3FAB"/>
    <w:rsid w:val="3F3D74FE"/>
    <w:rsid w:val="3F7F07E6"/>
    <w:rsid w:val="3FBC281F"/>
    <w:rsid w:val="40D84324"/>
    <w:rsid w:val="422E6A20"/>
    <w:rsid w:val="432A1B18"/>
    <w:rsid w:val="43E06BC0"/>
    <w:rsid w:val="448F2D07"/>
    <w:rsid w:val="450B6A83"/>
    <w:rsid w:val="45323119"/>
    <w:rsid w:val="4537221B"/>
    <w:rsid w:val="45447252"/>
    <w:rsid w:val="45631693"/>
    <w:rsid w:val="456D26F5"/>
    <w:rsid w:val="467B4E31"/>
    <w:rsid w:val="480004B0"/>
    <w:rsid w:val="483153FC"/>
    <w:rsid w:val="495777FB"/>
    <w:rsid w:val="4A275658"/>
    <w:rsid w:val="4AF20173"/>
    <w:rsid w:val="4B0C6E2E"/>
    <w:rsid w:val="4B1B76D0"/>
    <w:rsid w:val="4B6320B2"/>
    <w:rsid w:val="4B994494"/>
    <w:rsid w:val="4BAE772A"/>
    <w:rsid w:val="4BB17333"/>
    <w:rsid w:val="4C4A7B3B"/>
    <w:rsid w:val="4C4F073F"/>
    <w:rsid w:val="4C8B4D21"/>
    <w:rsid w:val="4CC0557B"/>
    <w:rsid w:val="4CD40998"/>
    <w:rsid w:val="4CEA1A71"/>
    <w:rsid w:val="4D131F93"/>
    <w:rsid w:val="4DC3281F"/>
    <w:rsid w:val="4DFC16FF"/>
    <w:rsid w:val="50066CA3"/>
    <w:rsid w:val="504533AC"/>
    <w:rsid w:val="50485D02"/>
    <w:rsid w:val="518B59E0"/>
    <w:rsid w:val="51D13349"/>
    <w:rsid w:val="51E332DC"/>
    <w:rsid w:val="5244176A"/>
    <w:rsid w:val="52622C38"/>
    <w:rsid w:val="534D4075"/>
    <w:rsid w:val="53780202"/>
    <w:rsid w:val="541532F3"/>
    <w:rsid w:val="544669FD"/>
    <w:rsid w:val="54F21968"/>
    <w:rsid w:val="550310E3"/>
    <w:rsid w:val="55BB16B6"/>
    <w:rsid w:val="566A423C"/>
    <w:rsid w:val="572B3928"/>
    <w:rsid w:val="574F6249"/>
    <w:rsid w:val="57AD74C8"/>
    <w:rsid w:val="58071A1F"/>
    <w:rsid w:val="599B1691"/>
    <w:rsid w:val="5A772246"/>
    <w:rsid w:val="5B8524B6"/>
    <w:rsid w:val="5BB37923"/>
    <w:rsid w:val="5BEB180B"/>
    <w:rsid w:val="5C3E0CC0"/>
    <w:rsid w:val="5D79752D"/>
    <w:rsid w:val="5E8575A0"/>
    <w:rsid w:val="5ECC5796"/>
    <w:rsid w:val="5FD849CF"/>
    <w:rsid w:val="60104E84"/>
    <w:rsid w:val="606964BC"/>
    <w:rsid w:val="60B548DC"/>
    <w:rsid w:val="616E24E6"/>
    <w:rsid w:val="619A462F"/>
    <w:rsid w:val="62312A9D"/>
    <w:rsid w:val="62CF1CB5"/>
    <w:rsid w:val="63323318"/>
    <w:rsid w:val="63545F00"/>
    <w:rsid w:val="635C21B5"/>
    <w:rsid w:val="63D22FD5"/>
    <w:rsid w:val="64202DC6"/>
    <w:rsid w:val="649D6684"/>
    <w:rsid w:val="65ED15BB"/>
    <w:rsid w:val="666502D8"/>
    <w:rsid w:val="67896049"/>
    <w:rsid w:val="68355788"/>
    <w:rsid w:val="6841159B"/>
    <w:rsid w:val="687F107F"/>
    <w:rsid w:val="68822004"/>
    <w:rsid w:val="689C09B0"/>
    <w:rsid w:val="6A002475"/>
    <w:rsid w:val="6A6F1DC6"/>
    <w:rsid w:val="6AB06D96"/>
    <w:rsid w:val="6AB60C9F"/>
    <w:rsid w:val="6ABE192F"/>
    <w:rsid w:val="6AD112BF"/>
    <w:rsid w:val="6B405AFC"/>
    <w:rsid w:val="6B651B3A"/>
    <w:rsid w:val="6BD8207B"/>
    <w:rsid w:val="6C8C2E23"/>
    <w:rsid w:val="6CA17546"/>
    <w:rsid w:val="6D7F4B76"/>
    <w:rsid w:val="6D870634"/>
    <w:rsid w:val="6E894E68"/>
    <w:rsid w:val="6F153928"/>
    <w:rsid w:val="6F2B72B3"/>
    <w:rsid w:val="6F7F20D5"/>
    <w:rsid w:val="705B2773"/>
    <w:rsid w:val="71D8190B"/>
    <w:rsid w:val="722246EA"/>
    <w:rsid w:val="72740C55"/>
    <w:rsid w:val="72F06D27"/>
    <w:rsid w:val="7328385A"/>
    <w:rsid w:val="739065EB"/>
    <w:rsid w:val="73A56DC9"/>
    <w:rsid w:val="73DF11F6"/>
    <w:rsid w:val="73F26EC8"/>
    <w:rsid w:val="74206FB2"/>
    <w:rsid w:val="74352E35"/>
    <w:rsid w:val="74410750"/>
    <w:rsid w:val="752B1775"/>
    <w:rsid w:val="75AC0DCF"/>
    <w:rsid w:val="75F21E91"/>
    <w:rsid w:val="761B77D2"/>
    <w:rsid w:val="76880984"/>
    <w:rsid w:val="77E2713E"/>
    <w:rsid w:val="78A07BDA"/>
    <w:rsid w:val="78B64B97"/>
    <w:rsid w:val="79257DFE"/>
    <w:rsid w:val="7929744E"/>
    <w:rsid w:val="7AB46BDC"/>
    <w:rsid w:val="7B5209E2"/>
    <w:rsid w:val="7B7A3121"/>
    <w:rsid w:val="7BA577E9"/>
    <w:rsid w:val="7C28453F"/>
    <w:rsid w:val="7C5A278F"/>
    <w:rsid w:val="7C6543A4"/>
    <w:rsid w:val="7C8D1CE5"/>
    <w:rsid w:val="7CA56C98"/>
    <w:rsid w:val="7D1A2BCE"/>
    <w:rsid w:val="7D512D27"/>
    <w:rsid w:val="7D566EE8"/>
    <w:rsid w:val="7D9A1C2E"/>
    <w:rsid w:val="7E345685"/>
    <w:rsid w:val="7E6D09FF"/>
    <w:rsid w:val="7E7A539B"/>
    <w:rsid w:val="7EA45F4A"/>
    <w:rsid w:val="7F261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autoRedefine/>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paragraph" w:styleId="5">
    <w:name w:val="heading 4"/>
    <w:basedOn w:val="1"/>
    <w:next w:val="1"/>
    <w:autoRedefine/>
    <w:qFormat/>
    <w:uiPriority w:val="0"/>
    <w:pPr>
      <w:keepNext/>
      <w:keepLines/>
      <w:spacing w:before="280" w:after="290" w:line="372" w:lineRule="auto"/>
      <w:outlineLvl w:val="3"/>
    </w:pPr>
    <w:rPr>
      <w:rFonts w:ascii="Arial" w:hAnsi="Arial" w:eastAsia="黑体"/>
      <w:b/>
      <w:bCs/>
      <w:sz w:val="28"/>
      <w:szCs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style>
  <w:style w:type="paragraph" w:styleId="6">
    <w:name w:val="Body Text Indent"/>
    <w:basedOn w:val="1"/>
    <w:autoRedefine/>
    <w:qFormat/>
    <w:uiPriority w:val="0"/>
    <w:pPr>
      <w:ind w:firstLine="630"/>
    </w:pPr>
    <w:rPr>
      <w:sz w:val="32"/>
      <w:szCs w:val="20"/>
    </w:rPr>
  </w:style>
  <w:style w:type="paragraph" w:styleId="7">
    <w:name w:val="Plain Text"/>
    <w:basedOn w:val="1"/>
    <w:autoRedefine/>
    <w:qFormat/>
    <w:uiPriority w:val="0"/>
    <w:pPr>
      <w:spacing w:line="460" w:lineRule="exact"/>
      <w:ind w:firstLine="567"/>
    </w:pPr>
    <w:rPr>
      <w:rFonts w:ascii="宋体" w:hAnsi="Courier New" w:eastAsia="仿宋_GB2312"/>
      <w:sz w:val="28"/>
      <w:szCs w:val="20"/>
    </w:rPr>
  </w:style>
  <w:style w:type="paragraph" w:styleId="8">
    <w:name w:val="toc 1"/>
    <w:basedOn w:val="1"/>
    <w:next w:val="1"/>
    <w:autoRedefine/>
    <w:qFormat/>
    <w:uiPriority w:val="0"/>
    <w:pPr>
      <w:spacing w:line="180" w:lineRule="auto"/>
      <w:jc w:val="center"/>
    </w:pPr>
    <w:rPr>
      <w:sz w:val="30"/>
    </w:rPr>
  </w:style>
  <w:style w:type="paragraph" w:styleId="9">
    <w:name w:val="footnote text"/>
    <w:basedOn w:val="1"/>
    <w:autoRedefine/>
    <w:qFormat/>
    <w:uiPriority w:val="99"/>
    <w:pPr>
      <w:snapToGrid w:val="0"/>
      <w:jc w:val="left"/>
    </w:pPr>
    <w:rPr>
      <w:rFonts w:ascii="宋体" w:hAnsi="Times New Roman" w:eastAsia="宋体" w:cs="Times New Roman"/>
      <w:kern w:val="0"/>
      <w:sz w:val="18"/>
      <w:szCs w:val="18"/>
    </w:rPr>
  </w:style>
  <w:style w:type="paragraph" w:styleId="10">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2"/>
    <w:basedOn w:val="6"/>
    <w:autoRedefine/>
    <w:qFormat/>
    <w:uiPriority w:val="0"/>
    <w:pPr>
      <w:ind w:firstLine="42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autoRedefine/>
    <w:qFormat/>
    <w:uiPriority w:val="99"/>
    <w:rPr>
      <w:sz w:val="21"/>
      <w:szCs w:val="21"/>
    </w:rPr>
  </w:style>
  <w:style w:type="paragraph" w:customStyle="1" w:styleId="16">
    <w:name w:val="样式 9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GW-正文"/>
    <w:basedOn w:val="1"/>
    <w:autoRedefine/>
    <w:qFormat/>
    <w:uiPriority w:val="0"/>
    <w:pPr>
      <w:spacing w:line="360" w:lineRule="auto"/>
      <w:ind w:firstLine="200" w:firstLineChars="200"/>
    </w:pPr>
    <w:rPr>
      <w:rFonts w:eastAsia="仿宋_GB2312"/>
      <w:sz w:val="24"/>
      <w:szCs w:val="24"/>
    </w:rPr>
  </w:style>
  <w:style w:type="paragraph" w:customStyle="1" w:styleId="1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_Style 3"/>
    <w:basedOn w:val="1"/>
    <w:autoRedefine/>
    <w:qFormat/>
    <w:uiPriority w:val="0"/>
    <w:pPr>
      <w:ind w:firstLine="420" w:firstLineChars="200"/>
    </w:pPr>
    <w:rPr>
      <w:sz w:val="20"/>
    </w:rPr>
  </w:style>
  <w:style w:type="paragraph" w:customStyle="1" w:styleId="20">
    <w:name w:val="Other|1"/>
    <w:basedOn w:val="1"/>
    <w:autoRedefine/>
    <w:qFormat/>
    <w:uiPriority w:val="0"/>
    <w:pPr>
      <w:jc w:val="left"/>
    </w:pPr>
    <w:rPr>
      <w:rFonts w:ascii="宋体" w:hAnsi="宋体" w:cs="宋体"/>
      <w:sz w:val="20"/>
      <w:szCs w:val="20"/>
      <w:lang w:val="zh-TW" w:eastAsia="zh-TW" w:bidi="zh-TW"/>
    </w:rPr>
  </w:style>
  <w:style w:type="character" w:customStyle="1" w:styleId="21">
    <w:name w:val="font21"/>
    <w:basedOn w:val="14"/>
    <w:autoRedefine/>
    <w:qFormat/>
    <w:uiPriority w:val="0"/>
    <w:rPr>
      <w:rFonts w:hint="default" w:ascii="华文仿宋" w:hAnsi="华文仿宋" w:eastAsia="华文仿宋" w:cs="华文仿宋"/>
      <w:b/>
      <w:bCs/>
      <w:color w:val="000000"/>
      <w:sz w:val="18"/>
      <w:szCs w:val="18"/>
      <w:u w:val="none"/>
    </w:rPr>
  </w:style>
  <w:style w:type="character" w:customStyle="1" w:styleId="22">
    <w:name w:val="font31"/>
    <w:basedOn w:val="14"/>
    <w:autoRedefine/>
    <w:qFormat/>
    <w:uiPriority w:val="0"/>
    <w:rPr>
      <w:rFonts w:hint="default" w:ascii="华文仿宋" w:hAnsi="华文仿宋" w:eastAsia="华文仿宋" w:cs="华文仿宋"/>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dcterms:modified xsi:type="dcterms:W3CDTF">2024-04-23T01:30:22Z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796B92C70F0F4764B01F0098AFD1D00F_12</vt:lpwstr>
  </property>
</Properties>
</file>