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SCFY-YXZB202404-008（磋）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1.56</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39"/>
        <w:gridCol w:w="948"/>
        <w:gridCol w:w="1020"/>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3" w:type="pct"/>
            <w:vAlign w:val="center"/>
          </w:tcPr>
          <w:p>
            <w:pPr>
              <w:autoSpaceDE w:val="0"/>
              <w:autoSpaceDN w:val="0"/>
              <w:jc w:val="center"/>
              <w:rPr>
                <w:rFonts w:ascii="宋体" w:hAnsi="宋体"/>
                <w:b/>
                <w:sz w:val="18"/>
                <w:szCs w:val="18"/>
              </w:rPr>
            </w:pPr>
            <w:bookmarkStart w:id="135" w:name="_GoBack"/>
            <w:bookmarkEnd w:id="135"/>
            <w:r>
              <w:rPr>
                <w:rFonts w:hint="eastAsia" w:ascii="宋体" w:hAnsi="宋体"/>
                <w:b/>
                <w:sz w:val="18"/>
                <w:szCs w:val="18"/>
              </w:rPr>
              <w:t>序号</w:t>
            </w:r>
          </w:p>
        </w:tc>
        <w:tc>
          <w:tcPr>
            <w:tcW w:w="595" w:type="pct"/>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96" w:type="pct"/>
            <w:vAlign w:val="center"/>
          </w:tcPr>
          <w:p>
            <w:pPr>
              <w:autoSpaceDE w:val="0"/>
              <w:autoSpaceDN w:val="0"/>
              <w:jc w:val="center"/>
              <w:rPr>
                <w:rFonts w:ascii="宋体" w:hAnsi="宋体"/>
                <w:b/>
                <w:sz w:val="18"/>
                <w:szCs w:val="18"/>
              </w:rPr>
            </w:pPr>
            <w:r>
              <w:rPr>
                <w:rFonts w:hint="eastAsia" w:ascii="宋体" w:hAnsi="宋体"/>
                <w:b/>
                <w:sz w:val="18"/>
                <w:szCs w:val="18"/>
              </w:rPr>
              <w:t>预算单价</w:t>
            </w:r>
          </w:p>
        </w:tc>
        <w:tc>
          <w:tcPr>
            <w:tcW w:w="533" w:type="pct"/>
            <w:vAlign w:val="center"/>
          </w:tcPr>
          <w:p>
            <w:pPr>
              <w:autoSpaceDE w:val="0"/>
              <w:autoSpaceDN w:val="0"/>
              <w:jc w:val="center"/>
              <w:rPr>
                <w:rFonts w:ascii="宋体" w:hAnsi="宋体"/>
                <w:b/>
                <w:sz w:val="18"/>
                <w:szCs w:val="18"/>
              </w:rPr>
            </w:pPr>
            <w:r>
              <w:rPr>
                <w:rFonts w:hint="eastAsia" w:ascii="宋体" w:hAnsi="宋体"/>
                <w:b/>
                <w:sz w:val="18"/>
                <w:szCs w:val="18"/>
              </w:rPr>
              <w:t>预估年度</w:t>
            </w:r>
          </w:p>
          <w:p>
            <w:pPr>
              <w:autoSpaceDE w:val="0"/>
              <w:autoSpaceDN w:val="0"/>
              <w:jc w:val="center"/>
              <w:rPr>
                <w:rFonts w:ascii="宋体" w:hAnsi="宋体"/>
                <w:b/>
                <w:sz w:val="18"/>
                <w:szCs w:val="18"/>
              </w:rPr>
            </w:pPr>
            <w:r>
              <w:rPr>
                <w:rFonts w:hint="eastAsia" w:ascii="宋体" w:hAnsi="宋体"/>
                <w:b/>
                <w:sz w:val="18"/>
                <w:szCs w:val="18"/>
              </w:rPr>
              <w:t>用量</w:t>
            </w:r>
          </w:p>
        </w:tc>
        <w:tc>
          <w:tcPr>
            <w:tcW w:w="3080" w:type="pct"/>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93" w:type="pct"/>
            <w:vAlign w:val="center"/>
          </w:tcPr>
          <w:p>
            <w:pPr>
              <w:autoSpaceDE w:val="0"/>
              <w:autoSpaceDN w:val="0"/>
              <w:jc w:val="center"/>
              <w:rPr>
                <w:rFonts w:ascii="宋体" w:hAnsi="宋体"/>
              </w:rPr>
            </w:pPr>
            <w:r>
              <w:rPr>
                <w:rFonts w:hint="eastAsia" w:ascii="宋体" w:hAnsi="宋体"/>
              </w:rPr>
              <w:t>1</w:t>
            </w:r>
          </w:p>
        </w:tc>
        <w:tc>
          <w:tcPr>
            <w:tcW w:w="595" w:type="pct"/>
            <w:vAlign w:val="center"/>
          </w:tcPr>
          <w:p>
            <w:pPr>
              <w:widowControl/>
              <w:shd w:val="clear"/>
              <w:spacing w:line="400" w:lineRule="atLeast"/>
              <w:jc w:val="center"/>
              <w:rPr>
                <w:rFonts w:ascii="宋体" w:hAnsi="宋体" w:cs="宋体"/>
                <w:color w:val="000000"/>
              </w:rPr>
            </w:pPr>
            <w:r>
              <w:rPr>
                <w:rFonts w:hint="eastAsia" w:ascii="宋体" w:hAnsi="宋体" w:cs="宋体"/>
                <w:color w:val="000000" w:themeColor="text1"/>
                <w:kern w:val="0"/>
                <w:sz w:val="21"/>
                <w:szCs w:val="21"/>
                <w:lang w:val="en-US" w:eastAsia="zh-CN"/>
              </w:rPr>
              <w:t>一次性使用尿动力学导管（膀胱测压管）</w:t>
            </w:r>
          </w:p>
        </w:tc>
        <w:tc>
          <w:tcPr>
            <w:tcW w:w="496"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260</w:t>
            </w:r>
          </w:p>
        </w:tc>
        <w:tc>
          <w:tcPr>
            <w:tcW w:w="533"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20</w:t>
            </w:r>
          </w:p>
        </w:tc>
        <w:tc>
          <w:tcPr>
            <w:tcW w:w="3080" w:type="pct"/>
            <w:vAlign w:val="top"/>
          </w:tcPr>
          <w:p>
            <w:pPr>
              <w:widowControl/>
              <w:numPr>
                <w:ilvl w:val="0"/>
                <w:numId w:val="0"/>
              </w:numPr>
              <w:jc w:val="left"/>
              <w:rPr>
                <w:rFonts w:hint="eastAsia"/>
              </w:rPr>
            </w:pPr>
            <w:r>
              <w:rPr>
                <w:rFonts w:hint="eastAsia"/>
              </w:rPr>
              <w:t>▲与我院设备尿动力学检测仪（品牌：广东市普东医疗设备；型号：Ndly 11B）匹配使用。</w:t>
            </w:r>
          </w:p>
          <w:p>
            <w:pPr>
              <w:rPr>
                <w:rFonts w:hint="eastAsia"/>
                <w:lang w:val="en-US" w:eastAsia="zh-CN"/>
              </w:rPr>
            </w:pPr>
            <w:r>
              <w:rPr>
                <w:rFonts w:hint="eastAsia"/>
                <w:lang w:val="en-US" w:eastAsia="zh-CN"/>
              </w:rPr>
              <w:t>1.用于膀胱压力测定。</w:t>
            </w:r>
          </w:p>
          <w:p>
            <w:pPr>
              <w:rPr>
                <w:rFonts w:hint="eastAsia"/>
                <w:lang w:val="en-US" w:eastAsia="zh-CN"/>
              </w:rPr>
            </w:pPr>
            <w:r>
              <w:rPr>
                <w:rFonts w:hint="eastAsia"/>
                <w:lang w:val="en-US" w:eastAsia="zh-CN"/>
              </w:rPr>
              <w:t>2.导管头部圆滑。</w:t>
            </w:r>
          </w:p>
          <w:p>
            <w:pPr>
              <w:rPr>
                <w:rFonts w:hint="eastAsia"/>
                <w:lang w:val="en-US" w:eastAsia="zh-CN"/>
              </w:rPr>
            </w:pPr>
            <w:r>
              <w:rPr>
                <w:rFonts w:hint="eastAsia"/>
                <w:lang w:val="en-US" w:eastAsia="zh-CN"/>
              </w:rPr>
              <w:t>3.导管塑化均匀、外表光洁，无毛刺，材质柔软度适中。</w:t>
            </w:r>
          </w:p>
          <w:p>
            <w:pPr>
              <w:rPr>
                <w:rFonts w:hint="eastAsia"/>
                <w:lang w:val="en-US" w:eastAsia="zh-CN"/>
              </w:rPr>
            </w:pPr>
            <w:r>
              <w:rPr>
                <w:rFonts w:hint="eastAsia"/>
                <w:lang w:val="en-US" w:eastAsia="zh-CN"/>
              </w:rPr>
              <w:t>4.生物相容性好，对组织无损伤。</w:t>
            </w:r>
          </w:p>
          <w:p>
            <w:pPr>
              <w:rPr>
                <w:rFonts w:hint="eastAsia"/>
                <w:lang w:val="en-US" w:eastAsia="zh-CN"/>
              </w:rPr>
            </w:pPr>
            <w:r>
              <w:rPr>
                <w:rFonts w:hint="eastAsia"/>
                <w:lang w:val="en-US" w:eastAsia="zh-CN"/>
              </w:rPr>
              <w:t>5.型号齐全，能满足婴幼儿使用。</w:t>
            </w:r>
          </w:p>
          <w:p>
            <w:pPr>
              <w:pStyle w:val="2"/>
            </w:pPr>
            <w:r>
              <w:rPr>
                <w:rFonts w:hint="eastAsia"/>
                <w:lang w:val="en-US" w:eastAsia="zh-CN"/>
              </w:rPr>
              <w:t>6.</w:t>
            </w:r>
            <w:r>
              <w:rPr>
                <w:rFonts w:hint="eastAsia" w:cs="Times New Roman"/>
                <w:kern w:val="2"/>
                <w:sz w:val="21"/>
                <w:szCs w:val="21"/>
                <w:lang w:val="en-US" w:eastAsia="zh-CN" w:bidi="ar-SA"/>
              </w:rPr>
              <w:t>环氧乙烷灭菌，一次性使用。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93" w:type="pct"/>
            <w:vAlign w:val="center"/>
          </w:tcPr>
          <w:p>
            <w:pPr>
              <w:autoSpaceDE w:val="0"/>
              <w:autoSpaceDN w:val="0"/>
              <w:jc w:val="center"/>
              <w:rPr>
                <w:rFonts w:ascii="宋体" w:hAnsi="宋体"/>
              </w:rPr>
            </w:pPr>
            <w:r>
              <w:rPr>
                <w:rFonts w:hint="eastAsia" w:ascii="宋体" w:hAnsi="宋体"/>
              </w:rPr>
              <w:t>2</w:t>
            </w:r>
          </w:p>
        </w:tc>
        <w:tc>
          <w:tcPr>
            <w:tcW w:w="595" w:type="pct"/>
            <w:vAlign w:val="center"/>
          </w:tcPr>
          <w:p>
            <w:pPr>
              <w:widowControl/>
              <w:shd w:val="clear"/>
              <w:spacing w:line="400" w:lineRule="atLeast"/>
              <w:jc w:val="center"/>
              <w:rPr>
                <w:rFonts w:ascii="宋体" w:hAnsi="宋体"/>
              </w:rPr>
            </w:pPr>
            <w:r>
              <w:rPr>
                <w:rFonts w:hint="eastAsia" w:ascii="宋体" w:hAnsi="宋体" w:cs="宋体"/>
                <w:color w:val="000000" w:themeColor="text1"/>
                <w:kern w:val="0"/>
                <w:sz w:val="21"/>
                <w:szCs w:val="21"/>
                <w:lang w:val="en-US" w:eastAsia="zh-CN"/>
              </w:rPr>
              <w:t>一次性使用尿动力学导管（直肠测压管）</w:t>
            </w:r>
          </w:p>
        </w:tc>
        <w:tc>
          <w:tcPr>
            <w:tcW w:w="496"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260</w:t>
            </w:r>
          </w:p>
        </w:tc>
        <w:tc>
          <w:tcPr>
            <w:tcW w:w="533"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20</w:t>
            </w:r>
          </w:p>
        </w:tc>
        <w:tc>
          <w:tcPr>
            <w:tcW w:w="3080" w:type="pct"/>
            <w:vAlign w:val="top"/>
          </w:tcPr>
          <w:p>
            <w:pPr>
              <w:widowControl/>
              <w:numPr>
                <w:ilvl w:val="0"/>
                <w:numId w:val="0"/>
              </w:numPr>
              <w:jc w:val="left"/>
              <w:rPr>
                <w:rFonts w:hint="eastAsia"/>
              </w:rPr>
            </w:pPr>
            <w:r>
              <w:rPr>
                <w:rFonts w:hint="eastAsia"/>
              </w:rPr>
              <w:t>▲与我院设备尿动力学检测仪（品牌：广东市普东医疗设备；型号：Ndly 11B）匹配使用。</w:t>
            </w:r>
          </w:p>
          <w:p>
            <w:pPr>
              <w:rPr>
                <w:rFonts w:hint="eastAsia"/>
                <w:lang w:val="en-US" w:eastAsia="zh-CN"/>
              </w:rPr>
            </w:pPr>
            <w:r>
              <w:rPr>
                <w:rFonts w:hint="eastAsia"/>
                <w:lang w:val="en-US" w:eastAsia="zh-CN"/>
              </w:rPr>
              <w:t>1.用于直肠压力测定。</w:t>
            </w:r>
          </w:p>
          <w:p>
            <w:pPr>
              <w:rPr>
                <w:rFonts w:hint="eastAsia"/>
                <w:lang w:val="en-US" w:eastAsia="zh-CN"/>
              </w:rPr>
            </w:pPr>
            <w:r>
              <w:rPr>
                <w:rFonts w:hint="eastAsia"/>
                <w:lang w:val="en-US" w:eastAsia="zh-CN"/>
              </w:rPr>
              <w:t>2.导管头部圆滑。</w:t>
            </w:r>
          </w:p>
          <w:p>
            <w:pPr>
              <w:rPr>
                <w:rFonts w:hint="eastAsia"/>
                <w:lang w:val="en-US" w:eastAsia="zh-CN"/>
              </w:rPr>
            </w:pPr>
            <w:r>
              <w:rPr>
                <w:rFonts w:hint="eastAsia"/>
                <w:lang w:val="en-US" w:eastAsia="zh-CN"/>
              </w:rPr>
              <w:t>3.导管塑化均匀、外表光洁，无毛刺，材质柔软度适中。</w:t>
            </w:r>
          </w:p>
          <w:p>
            <w:pPr>
              <w:rPr>
                <w:rFonts w:hint="eastAsia"/>
                <w:lang w:val="en-US" w:eastAsia="zh-CN"/>
              </w:rPr>
            </w:pPr>
            <w:r>
              <w:rPr>
                <w:rFonts w:hint="eastAsia"/>
                <w:lang w:val="en-US" w:eastAsia="zh-CN"/>
              </w:rPr>
              <w:t>4.球囊固定部位紧密、均匀。</w:t>
            </w:r>
          </w:p>
          <w:p>
            <w:pPr>
              <w:rPr>
                <w:rFonts w:hint="eastAsia"/>
                <w:lang w:val="en-US" w:eastAsia="zh-CN"/>
              </w:rPr>
            </w:pPr>
            <w:r>
              <w:rPr>
                <w:rFonts w:hint="eastAsia"/>
                <w:lang w:val="en-US" w:eastAsia="zh-CN"/>
              </w:rPr>
              <w:t>5.生物相容性好，对组织无损伤。</w:t>
            </w:r>
          </w:p>
          <w:p>
            <w:pPr>
              <w:pStyle w:val="2"/>
            </w:pPr>
            <w:r>
              <w:rPr>
                <w:rFonts w:hint="eastAsia"/>
                <w:lang w:val="en-US" w:eastAsia="zh-CN"/>
              </w:rPr>
              <w:t>6.</w:t>
            </w:r>
            <w:r>
              <w:rPr>
                <w:rFonts w:hint="eastAsia" w:cs="Times New Roman"/>
                <w:kern w:val="2"/>
                <w:sz w:val="21"/>
                <w:szCs w:val="21"/>
                <w:lang w:val="en-US" w:eastAsia="zh-CN" w:bidi="ar-SA"/>
              </w:rPr>
              <w:t>环氧乙烷灭菌，一次性使用。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93" w:type="pct"/>
            <w:vAlign w:val="center"/>
          </w:tcPr>
          <w:p>
            <w:pPr>
              <w:autoSpaceDE w:val="0"/>
              <w:autoSpaceDN w:val="0"/>
              <w:jc w:val="center"/>
              <w:rPr>
                <w:rFonts w:ascii="宋体" w:hAnsi="宋体"/>
              </w:rPr>
            </w:pPr>
            <w:r>
              <w:rPr>
                <w:rFonts w:hint="eastAsia" w:ascii="宋体" w:hAnsi="宋体"/>
              </w:rPr>
              <w:t>3</w:t>
            </w:r>
          </w:p>
        </w:tc>
        <w:tc>
          <w:tcPr>
            <w:tcW w:w="595" w:type="pct"/>
            <w:vAlign w:val="center"/>
          </w:tcPr>
          <w:p>
            <w:pPr>
              <w:widowControl/>
              <w:shd w:val="clear"/>
              <w:spacing w:line="400" w:lineRule="atLeast"/>
              <w:jc w:val="center"/>
              <w:rPr>
                <w:rFonts w:ascii="宋体" w:hAnsi="宋体"/>
              </w:rPr>
            </w:pPr>
            <w:r>
              <w:rPr>
                <w:rFonts w:hint="eastAsia" w:ascii="宋体" w:hAnsi="宋体" w:cs="宋体"/>
                <w:color w:val="000000" w:themeColor="text1"/>
                <w:kern w:val="0"/>
                <w:sz w:val="21"/>
                <w:szCs w:val="21"/>
                <w:lang w:val="en-US" w:eastAsia="zh-CN"/>
              </w:rPr>
              <w:t>一次性使用尿动力学导管（液路连接管）</w:t>
            </w:r>
          </w:p>
        </w:tc>
        <w:tc>
          <w:tcPr>
            <w:tcW w:w="496"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260</w:t>
            </w:r>
          </w:p>
        </w:tc>
        <w:tc>
          <w:tcPr>
            <w:tcW w:w="533"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20</w:t>
            </w:r>
          </w:p>
        </w:tc>
        <w:tc>
          <w:tcPr>
            <w:tcW w:w="3080" w:type="pct"/>
            <w:vAlign w:val="top"/>
          </w:tcPr>
          <w:p>
            <w:pPr>
              <w:widowControl/>
              <w:numPr>
                <w:ilvl w:val="0"/>
                <w:numId w:val="0"/>
              </w:numPr>
              <w:jc w:val="left"/>
              <w:textAlignment w:val="center"/>
              <w:rPr>
                <w:rFonts w:hint="eastAsia"/>
              </w:rPr>
            </w:pPr>
            <w:r>
              <w:rPr>
                <w:rFonts w:hint="eastAsia"/>
              </w:rPr>
              <w:t>▲与我院设备尿动力学检测仪（品牌：广东市普东医疗设备；型号：Ndly 11B）匹配使用。</w:t>
            </w:r>
          </w:p>
          <w:p>
            <w:pPr>
              <w:rPr>
                <w:rFonts w:hint="eastAsia"/>
                <w:lang w:val="en-US" w:eastAsia="zh-CN"/>
              </w:rPr>
            </w:pPr>
            <w:r>
              <w:rPr>
                <w:rFonts w:hint="eastAsia"/>
                <w:lang w:val="en-US" w:eastAsia="zh-CN"/>
              </w:rPr>
              <w:t>1.连接压力传递及膀胱灌注使用。</w:t>
            </w:r>
          </w:p>
          <w:p>
            <w:pPr>
              <w:rPr>
                <w:rFonts w:hint="eastAsia"/>
                <w:lang w:val="en-US" w:eastAsia="zh-CN"/>
              </w:rPr>
            </w:pPr>
            <w:r>
              <w:rPr>
                <w:rFonts w:hint="eastAsia"/>
                <w:lang w:val="en-US" w:eastAsia="zh-CN"/>
              </w:rPr>
              <w:t>2.导管塑化均匀、外表光洁，无毛刺。</w:t>
            </w:r>
          </w:p>
          <w:p>
            <w:pPr>
              <w:rPr>
                <w:rFonts w:hint="eastAsia"/>
                <w:lang w:val="en-US" w:eastAsia="zh-CN"/>
              </w:rPr>
            </w:pPr>
            <w:r>
              <w:rPr>
                <w:rFonts w:hint="eastAsia"/>
                <w:lang w:val="en-US" w:eastAsia="zh-CN"/>
              </w:rPr>
              <w:t>3.各固定部位紧密，无漏液。</w:t>
            </w:r>
          </w:p>
          <w:p>
            <w:pPr>
              <w:rPr>
                <w:rFonts w:hint="eastAsia"/>
                <w:lang w:val="en-US" w:eastAsia="zh-CN"/>
              </w:rPr>
            </w:pPr>
            <w:r>
              <w:rPr>
                <w:rFonts w:hint="eastAsia"/>
                <w:lang w:val="en-US" w:eastAsia="zh-CN"/>
              </w:rPr>
              <w:t>4.生物相容性好，对组织无损伤。</w:t>
            </w:r>
          </w:p>
          <w:p>
            <w:pPr>
              <w:pStyle w:val="2"/>
            </w:pPr>
            <w:r>
              <w:rPr>
                <w:rFonts w:hint="eastAsia"/>
                <w:lang w:val="en-US" w:eastAsia="zh-CN"/>
              </w:rPr>
              <w:t>5.</w:t>
            </w:r>
            <w:r>
              <w:rPr>
                <w:rFonts w:hint="eastAsia" w:cs="Times New Roman"/>
                <w:kern w:val="2"/>
                <w:sz w:val="21"/>
                <w:szCs w:val="21"/>
                <w:lang w:val="en-US" w:eastAsia="zh-CN" w:bidi="ar-SA"/>
              </w:rPr>
              <w:t>环氧乙烷灭菌，一次性使用。</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36"/>
        <w:gridCol w:w="732"/>
        <w:gridCol w:w="3707"/>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5000" w:type="pct"/>
            <w:gridSpan w:val="5"/>
            <w:vAlign w:val="center"/>
          </w:tcPr>
          <w:p>
            <w:pPr>
              <w:widowControl/>
              <w:wordWrap w:val="0"/>
              <w:spacing w:line="240" w:lineRule="atLeast"/>
              <w:jc w:val="both"/>
              <w:rPr>
                <w:rFonts w:hint="default" w:ascii="宋体" w:hAnsi="宋体" w:eastAsia="宋体" w:cs="Segoe UI"/>
                <w:b/>
                <w:color w:val="333333"/>
                <w:kern w:val="0"/>
                <w:sz w:val="18"/>
                <w:szCs w:val="18"/>
                <w:lang w:val="en-US" w:eastAsia="zh-CN"/>
              </w:rPr>
            </w:pPr>
            <w:r>
              <w:rPr>
                <w:rFonts w:hint="eastAsia" w:ascii="宋体" w:hAnsi="宋体" w:cs="Segoe UI"/>
                <w:b/>
                <w:color w:val="333333"/>
                <w:kern w:val="0"/>
                <w:sz w:val="28"/>
                <w:szCs w:val="28"/>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79"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序号</w:t>
            </w:r>
          </w:p>
        </w:tc>
        <w:tc>
          <w:tcPr>
            <w:tcW w:w="468" w:type="pct"/>
            <w:vAlign w:val="center"/>
          </w:tcPr>
          <w:p>
            <w:pPr>
              <w:widowControl/>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评分因素</w:t>
            </w:r>
          </w:p>
        </w:tc>
        <w:tc>
          <w:tcPr>
            <w:tcW w:w="366"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分值</w:t>
            </w:r>
          </w:p>
        </w:tc>
        <w:tc>
          <w:tcPr>
            <w:tcW w:w="1854"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评分标准</w:t>
            </w:r>
          </w:p>
        </w:tc>
        <w:tc>
          <w:tcPr>
            <w:tcW w:w="2031"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366"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1854" w:type="pct"/>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2031" w:type="pct"/>
            <w:vAlign w:val="center"/>
          </w:tcPr>
          <w:p>
            <w:pPr>
              <w:widowControl/>
              <w:numPr>
                <w:ilvl w:val="0"/>
                <w:numId w:val="2"/>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2"/>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51</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51</w:t>
            </w:r>
          </w:p>
        </w:tc>
        <w:tc>
          <w:tcPr>
            <w:tcW w:w="1854" w:type="pct"/>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kern w:val="0"/>
                <w:sz w:val="18"/>
                <w:szCs w:val="18"/>
                <w:lang w:val="en-US" w:eastAsia="zh-CN"/>
              </w:rPr>
              <w:t>51</w:t>
            </w:r>
            <w:r>
              <w:rPr>
                <w:rFonts w:hint="eastAsia" w:ascii="宋体" w:hAnsi="宋体" w:cs="宋体"/>
                <w:kern w:val="0"/>
                <w:sz w:val="18"/>
                <w:szCs w:val="18"/>
              </w:rPr>
              <w:t>分；</w:t>
            </w:r>
            <w:r>
              <w:rPr>
                <w:rFonts w:hint="eastAsia" w:ascii="宋体" w:hAnsi="宋体" w:cs="宋体"/>
                <w:kern w:val="0"/>
                <w:sz w:val="18"/>
                <w:szCs w:val="18"/>
                <w:lang w:val="en-US" w:eastAsia="zh-CN"/>
              </w:rPr>
              <w:t>每</w:t>
            </w:r>
            <w:r>
              <w:rPr>
                <w:rFonts w:hint="eastAsia" w:ascii="宋体" w:hAnsi="宋体" w:cs="宋体"/>
                <w:kern w:val="0"/>
                <w:sz w:val="18"/>
                <w:szCs w:val="18"/>
              </w:rPr>
              <w:t>条款技术参数不满足招标文件要求（负偏离），一次扣</w:t>
            </w:r>
            <w:r>
              <w:rPr>
                <w:rFonts w:hint="eastAsia" w:ascii="宋体" w:hAnsi="宋体" w:cs="宋体"/>
                <w:kern w:val="0"/>
                <w:sz w:val="18"/>
                <w:szCs w:val="18"/>
                <w:lang w:val="en-US" w:eastAsia="zh-CN"/>
              </w:rPr>
              <w:t>3</w:t>
            </w:r>
            <w:r>
              <w:rPr>
                <w:rFonts w:hint="eastAsia" w:ascii="宋体" w:hAnsi="宋体" w:cs="宋体"/>
                <w:kern w:val="0"/>
                <w:sz w:val="18"/>
                <w:szCs w:val="18"/>
              </w:rPr>
              <w:t>分，扣完为止。</w:t>
            </w:r>
          </w:p>
        </w:tc>
        <w:tc>
          <w:tcPr>
            <w:tcW w:w="2031" w:type="pct"/>
            <w:vAlign w:val="center"/>
          </w:tcPr>
          <w:p>
            <w:pPr>
              <w:widowControl/>
              <w:numPr>
                <w:ilvl w:val="0"/>
                <w:numId w:val="0"/>
              </w:numPr>
              <w:wordWrap w:val="0"/>
              <w:spacing w:line="270" w:lineRule="atLeast"/>
              <w:ind w:left="0" w:leftChars="0" w:firstLine="0" w:firstLineChars="0"/>
              <w:jc w:val="left"/>
              <w:rPr>
                <w:rFonts w:ascii="宋体" w:hAnsi="宋体" w:cs="Segoe U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3</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0</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000000"/>
                <w:kern w:val="0"/>
                <w:sz w:val="18"/>
                <w:szCs w:val="18"/>
                <w:lang w:val="en-US" w:eastAsia="zh-CN"/>
              </w:rPr>
            </w:pPr>
            <w:r>
              <w:rPr>
                <w:rFonts w:hint="eastAsia" w:ascii="宋体" w:hAnsi="宋体" w:cs="Segoe UI"/>
                <w:color w:val="333333"/>
                <w:kern w:val="0"/>
                <w:sz w:val="18"/>
                <w:szCs w:val="18"/>
              </w:rPr>
              <w:t>1</w:t>
            </w:r>
            <w:r>
              <w:rPr>
                <w:rFonts w:hint="eastAsia" w:ascii="宋体" w:hAnsi="宋体" w:cs="Segoe UI"/>
                <w:color w:val="333333"/>
                <w:kern w:val="0"/>
                <w:sz w:val="18"/>
                <w:szCs w:val="18"/>
                <w:lang w:val="en-US" w:eastAsia="zh-CN"/>
              </w:rPr>
              <w:t>0</w:t>
            </w:r>
          </w:p>
        </w:tc>
        <w:tc>
          <w:tcPr>
            <w:tcW w:w="1854"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2020年以来在国内三甲医疗机构销售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分。</w:t>
            </w:r>
          </w:p>
        </w:tc>
        <w:tc>
          <w:tcPr>
            <w:tcW w:w="2031"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4</w:t>
            </w:r>
          </w:p>
        </w:tc>
        <w:tc>
          <w:tcPr>
            <w:tcW w:w="46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366" w:type="pct"/>
            <w:vAlign w:val="center"/>
          </w:tcPr>
          <w:p>
            <w:pPr>
              <w:widowControl/>
              <w:spacing w:line="320" w:lineRule="atLeast"/>
              <w:ind w:left="-105" w:leftChars="0" w:right="-107" w:rightChars="0"/>
              <w:jc w:val="center"/>
              <w:rPr>
                <w:rFonts w:ascii="宋体" w:hAnsi="宋体" w:cs="Segoe UI"/>
                <w:color w:val="333333"/>
                <w:kern w:val="0"/>
                <w:sz w:val="18"/>
                <w:szCs w:val="18"/>
              </w:rPr>
            </w:pPr>
            <w:r>
              <w:rPr>
                <w:rFonts w:hint="eastAsia" w:ascii="宋体" w:hAnsi="宋体" w:cs="Segoe UI"/>
                <w:color w:val="333333"/>
                <w:kern w:val="0"/>
                <w:sz w:val="18"/>
                <w:szCs w:val="18"/>
                <w:lang w:val="en-US" w:eastAsia="zh-CN"/>
              </w:rPr>
              <w:t>9</w:t>
            </w:r>
          </w:p>
        </w:tc>
        <w:tc>
          <w:tcPr>
            <w:tcW w:w="1854" w:type="pct"/>
            <w:vAlign w:val="center"/>
          </w:tcPr>
          <w:p>
            <w:pPr>
              <w:wordWrap w:val="0"/>
              <w:jc w:val="left"/>
              <w:rPr>
                <w:rFonts w:ascii="宋体" w:hAnsi="宋体" w:cs="宋体"/>
                <w:color w:val="333333"/>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2031" w:type="pct"/>
            <w:vAlign w:val="center"/>
          </w:tcPr>
          <w:p>
            <w:pPr>
              <w:wordWrap w:val="0"/>
              <w:jc w:val="left"/>
              <w:rPr>
                <w:rFonts w:ascii="宋体" w:hAnsi="宋体" w:cs="Segoe UI"/>
                <w:color w:val="000000"/>
                <w:kern w:val="0"/>
                <w:sz w:val="18"/>
                <w:szCs w:val="18"/>
              </w:rPr>
            </w:pPr>
          </w:p>
        </w:tc>
      </w:tr>
    </w:tbl>
    <w:p>
      <w:pPr>
        <w:pStyle w:val="2"/>
        <w:rPr>
          <w:rFonts w:hint="eastAsia"/>
        </w:rPr>
      </w:pPr>
    </w:p>
    <w:p>
      <w:pPr>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21163"/>
      <w:bookmarkStart w:id="4" w:name="_Toc21676"/>
      <w:bookmarkStart w:id="5" w:name="_Toc9234"/>
      <w:bookmarkStart w:id="6" w:name="_Toc34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499"/>
      <w:bookmarkStart w:id="8" w:name="_Toc5208"/>
      <w:bookmarkStart w:id="9" w:name="_Toc60"/>
      <w:bookmarkStart w:id="10" w:name="_Toc12490"/>
      <w:bookmarkStart w:id="11" w:name="_Toc30275"/>
      <w:bookmarkStart w:id="12" w:name="_Toc30494"/>
      <w:bookmarkStart w:id="13" w:name="_Toc11076"/>
      <w:bookmarkStart w:id="14" w:name="_Toc10689"/>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183"/>
      <w:bookmarkStart w:id="17" w:name="_Toc3912"/>
      <w:bookmarkStart w:id="18" w:name="_Toc9131"/>
      <w:bookmarkStart w:id="19" w:name="_Toc30724"/>
      <w:bookmarkStart w:id="20" w:name="_Toc10948"/>
      <w:bookmarkStart w:id="21" w:name="_Toc26481"/>
      <w:bookmarkStart w:id="22" w:name="_Toc7067"/>
      <w:bookmarkStart w:id="23" w:name="_Toc28103"/>
      <w:bookmarkStart w:id="24" w:name="_Toc32214"/>
      <w:bookmarkStart w:id="25" w:name="_Toc3081"/>
      <w:bookmarkStart w:id="26" w:name="_Toc13021"/>
      <w:bookmarkStart w:id="27" w:name="_Toc18513"/>
      <w:bookmarkStart w:id="28" w:name="_Toc3447"/>
      <w:bookmarkStart w:id="29" w:name="_Toc3392"/>
      <w:bookmarkStart w:id="30" w:name="_Toc8717"/>
      <w:bookmarkStart w:id="31" w:name="_Toc18879"/>
      <w:bookmarkStart w:id="32" w:name="_Toc30080"/>
      <w:bookmarkStart w:id="33" w:name="_Toc19115"/>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920"/>
      <w:bookmarkStart w:id="35" w:name="_Toc18259"/>
      <w:bookmarkStart w:id="36" w:name="_Toc9042"/>
      <w:bookmarkStart w:id="37" w:name="_Toc23645"/>
      <w:bookmarkStart w:id="38" w:name="_Toc7249"/>
      <w:bookmarkStart w:id="39" w:name="_Toc15196"/>
      <w:bookmarkStart w:id="40" w:name="_Toc10142"/>
      <w:bookmarkStart w:id="41" w:name="_Toc30649"/>
      <w:bookmarkStart w:id="42" w:name="_Toc22795"/>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4117"/>
      <w:bookmarkStart w:id="46" w:name="_Toc26548"/>
      <w:bookmarkStart w:id="47" w:name="_Toc3004"/>
      <w:bookmarkStart w:id="48" w:name="_Toc30083"/>
      <w:bookmarkStart w:id="49" w:name="_Toc19600"/>
      <w:bookmarkStart w:id="50" w:name="_Toc25516"/>
      <w:bookmarkStart w:id="51" w:name="_Toc3534"/>
      <w:bookmarkStart w:id="52" w:name="_Toc21988"/>
      <w:bookmarkStart w:id="53" w:name="_Toc4775"/>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22198"/>
      <w:bookmarkStart w:id="56" w:name="_Toc12333"/>
      <w:bookmarkStart w:id="57" w:name="_Toc23192"/>
      <w:bookmarkStart w:id="58" w:name="_Toc16666"/>
      <w:bookmarkStart w:id="59" w:name="_Toc14887"/>
      <w:bookmarkStart w:id="60" w:name="_Toc32166"/>
      <w:bookmarkStart w:id="61" w:name="_Toc27376"/>
      <w:bookmarkStart w:id="62" w:name="_Toc16764"/>
      <w:bookmarkStart w:id="63" w:name="_Toc691"/>
      <w:bookmarkStart w:id="64" w:name="_Toc349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5412"/>
      <w:bookmarkStart w:id="66" w:name="_Toc14269"/>
      <w:bookmarkStart w:id="67" w:name="_Toc3943"/>
      <w:bookmarkStart w:id="68" w:name="_Toc1371"/>
      <w:bookmarkStart w:id="69" w:name="_Toc4577"/>
      <w:bookmarkStart w:id="70" w:name="_Toc9263"/>
      <w:bookmarkStart w:id="71" w:name="_Toc22606"/>
      <w:bookmarkStart w:id="72" w:name="_Toc25068"/>
      <w:bookmarkStart w:id="73" w:name="_Toc31581"/>
      <w:bookmarkStart w:id="74" w:name="_Toc10013"/>
      <w:bookmarkStart w:id="75" w:name="_Toc11914"/>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3267"/>
      <w:bookmarkStart w:id="77" w:name="_Toc18935"/>
      <w:bookmarkStart w:id="78" w:name="_Toc2316"/>
      <w:bookmarkStart w:id="79" w:name="_Toc10600"/>
      <w:bookmarkStart w:id="80" w:name="_Toc3908"/>
      <w:bookmarkStart w:id="81" w:name="_Toc29190"/>
      <w:bookmarkStart w:id="82" w:name="_Toc2937"/>
      <w:bookmarkStart w:id="83" w:name="_Toc11489"/>
      <w:bookmarkStart w:id="84" w:name="_Toc13677"/>
      <w:bookmarkStart w:id="85" w:name="_Toc17108"/>
      <w:bookmarkStart w:id="86" w:name="_Toc3189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6756"/>
      <w:bookmarkStart w:id="88" w:name="_Toc15916"/>
      <w:bookmarkStart w:id="89" w:name="_Toc24122"/>
      <w:bookmarkStart w:id="90" w:name="_Toc21351"/>
      <w:bookmarkStart w:id="91" w:name="_Toc12088"/>
      <w:bookmarkStart w:id="92" w:name="_Toc31638"/>
      <w:bookmarkStart w:id="93" w:name="_Toc14252"/>
      <w:bookmarkStart w:id="94" w:name="_Toc32365"/>
      <w:bookmarkStart w:id="95" w:name="_Toc1313"/>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7985"/>
      <w:bookmarkStart w:id="98" w:name="_Toc27948"/>
      <w:bookmarkStart w:id="99" w:name="_Toc11278"/>
      <w:bookmarkStart w:id="100" w:name="_Toc15083"/>
      <w:bookmarkStart w:id="101" w:name="_Toc9398"/>
      <w:bookmarkStart w:id="102" w:name="_Toc29215"/>
      <w:bookmarkStart w:id="103" w:name="_Toc15894"/>
      <w:bookmarkStart w:id="104" w:name="_Toc22760"/>
      <w:bookmarkStart w:id="105" w:name="_Toc18046"/>
      <w:bookmarkStart w:id="106" w:name="_Toc19589"/>
      <w:bookmarkStart w:id="107" w:name="_Toc23212"/>
      <w:bookmarkStart w:id="108" w:name="_Toc10583"/>
      <w:bookmarkStart w:id="109"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9648"/>
      <w:bookmarkStart w:id="111" w:name="_Toc24671"/>
      <w:bookmarkStart w:id="112" w:name="_Toc17204"/>
      <w:bookmarkStart w:id="113" w:name="_Toc24107"/>
      <w:bookmarkStart w:id="114" w:name="_Toc8083"/>
      <w:bookmarkStart w:id="115" w:name="_Toc24655"/>
      <w:bookmarkStart w:id="116" w:name="_Toc8940"/>
      <w:bookmarkStart w:id="117" w:name="_Toc8348"/>
      <w:bookmarkStart w:id="118" w:name="_Toc14546"/>
      <w:bookmarkStart w:id="119" w:name="_Toc4116"/>
      <w:bookmarkStart w:id="120" w:name="_Toc17741"/>
      <w:bookmarkStart w:id="121" w:name="_Toc757"/>
      <w:bookmarkStart w:id="122" w:name="_Toc27767"/>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4781"/>
      <w:bookmarkStart w:id="124" w:name="_Toc10945"/>
      <w:bookmarkStart w:id="125" w:name="_Toc10308"/>
      <w:bookmarkStart w:id="126" w:name="_Toc5840"/>
      <w:bookmarkStart w:id="127" w:name="_Toc24280"/>
      <w:bookmarkStart w:id="128" w:name="_Toc12682"/>
      <w:bookmarkStart w:id="129" w:name="_Toc20745"/>
      <w:bookmarkStart w:id="130" w:name="_Toc22243"/>
      <w:bookmarkStart w:id="131" w:name="_Toc10950"/>
      <w:bookmarkStart w:id="132" w:name="_Toc2003"/>
      <w:bookmarkStart w:id="133" w:name="_Toc15917"/>
      <w:bookmarkStart w:id="134" w:name="_Toc8524"/>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本公司郑重承诺：我公司自觉遵守《中华人民共和国政府采购法》和《中华人民共和国政府采购法实施条例》的有关规定，我公司在参加本次项目（项目名称：风湿免疫科尿流动力学检测耗材</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AE3"/>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5D2B71"/>
    <w:rsid w:val="022669F2"/>
    <w:rsid w:val="06AA2722"/>
    <w:rsid w:val="07953CAB"/>
    <w:rsid w:val="07B925A7"/>
    <w:rsid w:val="08471DD2"/>
    <w:rsid w:val="0BF815CE"/>
    <w:rsid w:val="0C062A11"/>
    <w:rsid w:val="0C716207"/>
    <w:rsid w:val="0DB175EC"/>
    <w:rsid w:val="0E911C5D"/>
    <w:rsid w:val="0EE70004"/>
    <w:rsid w:val="103C350A"/>
    <w:rsid w:val="10954EC2"/>
    <w:rsid w:val="12A81059"/>
    <w:rsid w:val="14456F80"/>
    <w:rsid w:val="14EC073C"/>
    <w:rsid w:val="1552290B"/>
    <w:rsid w:val="156324E4"/>
    <w:rsid w:val="17071C6D"/>
    <w:rsid w:val="18E43813"/>
    <w:rsid w:val="195D2073"/>
    <w:rsid w:val="1A37043E"/>
    <w:rsid w:val="1C1A7AA9"/>
    <w:rsid w:val="1C393BCD"/>
    <w:rsid w:val="1E7B0975"/>
    <w:rsid w:val="2262170C"/>
    <w:rsid w:val="228C2840"/>
    <w:rsid w:val="23D628AE"/>
    <w:rsid w:val="25755CB1"/>
    <w:rsid w:val="272816FC"/>
    <w:rsid w:val="2794509D"/>
    <w:rsid w:val="28203DA9"/>
    <w:rsid w:val="2B982D0C"/>
    <w:rsid w:val="2C1724E2"/>
    <w:rsid w:val="2E8A7141"/>
    <w:rsid w:val="311B61B2"/>
    <w:rsid w:val="327851DE"/>
    <w:rsid w:val="34F53C32"/>
    <w:rsid w:val="357C4381"/>
    <w:rsid w:val="364F4E7F"/>
    <w:rsid w:val="365344A5"/>
    <w:rsid w:val="37EB4F8D"/>
    <w:rsid w:val="38AA240F"/>
    <w:rsid w:val="396510AC"/>
    <w:rsid w:val="3B4C1295"/>
    <w:rsid w:val="3C455CFE"/>
    <w:rsid w:val="3ED3727D"/>
    <w:rsid w:val="405F3E1B"/>
    <w:rsid w:val="40F03741"/>
    <w:rsid w:val="41EE0E8D"/>
    <w:rsid w:val="44DA14CD"/>
    <w:rsid w:val="45030E7B"/>
    <w:rsid w:val="457D2EF6"/>
    <w:rsid w:val="46CD4878"/>
    <w:rsid w:val="48983A5D"/>
    <w:rsid w:val="496830E7"/>
    <w:rsid w:val="49CE4C05"/>
    <w:rsid w:val="4AE36A9A"/>
    <w:rsid w:val="4B6040B9"/>
    <w:rsid w:val="4B7A520A"/>
    <w:rsid w:val="4BA05B5D"/>
    <w:rsid w:val="4EE10A0C"/>
    <w:rsid w:val="51CB3FD0"/>
    <w:rsid w:val="5231198F"/>
    <w:rsid w:val="54407E70"/>
    <w:rsid w:val="5536063D"/>
    <w:rsid w:val="55B75F0E"/>
    <w:rsid w:val="55F211D3"/>
    <w:rsid w:val="56D013B9"/>
    <w:rsid w:val="577B25E6"/>
    <w:rsid w:val="5A5D2D65"/>
    <w:rsid w:val="5C452678"/>
    <w:rsid w:val="5C7C0F06"/>
    <w:rsid w:val="5FEC0FA4"/>
    <w:rsid w:val="61DB5EE7"/>
    <w:rsid w:val="62FA0171"/>
    <w:rsid w:val="637366D0"/>
    <w:rsid w:val="63E72E68"/>
    <w:rsid w:val="64ED5044"/>
    <w:rsid w:val="65C660EF"/>
    <w:rsid w:val="65DA011F"/>
    <w:rsid w:val="66CC5D86"/>
    <w:rsid w:val="66D20681"/>
    <w:rsid w:val="672843F4"/>
    <w:rsid w:val="69843CF6"/>
    <w:rsid w:val="6A052BEC"/>
    <w:rsid w:val="6A38583D"/>
    <w:rsid w:val="6C0F1984"/>
    <w:rsid w:val="6CF82393"/>
    <w:rsid w:val="6E745C2E"/>
    <w:rsid w:val="6F375634"/>
    <w:rsid w:val="701306BF"/>
    <w:rsid w:val="710D63F2"/>
    <w:rsid w:val="71D57369"/>
    <w:rsid w:val="74751A18"/>
    <w:rsid w:val="75233D75"/>
    <w:rsid w:val="753B0DB5"/>
    <w:rsid w:val="77490A08"/>
    <w:rsid w:val="78BA1DAC"/>
    <w:rsid w:val="799A6260"/>
    <w:rsid w:val="79B85C62"/>
    <w:rsid w:val="7A6007BC"/>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陈胜科</cp:lastModifiedBy>
  <dcterms:modified xsi:type="dcterms:W3CDTF">2024-04-25T00:47:39Z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