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auto"/>
        <w:jc w:val="center"/>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天府院区健康管理中心一期家具采购项目</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：SCFY-HQ202403-009（磋）</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both"/>
        <w:rPr>
          <w:rFonts w:hint="eastAsia" w:ascii="宋体" w:hAnsi="宋体" w:eastAsia="宋体" w:cs="宋体"/>
          <w:color w:val="auto"/>
          <w:sz w:val="24"/>
          <w:szCs w:val="24"/>
          <w:highlight w:val="none"/>
          <w:lang w:val="en-US" w:eastAsia="zh-CN"/>
        </w:rPr>
      </w:pP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我院将召开“天府院区健康管理中心一期家具采购项目”院内采购会议，会议由后</w:t>
      </w:r>
      <w:bookmarkStart w:id="0" w:name="_GoBack"/>
      <w:bookmarkEnd w:id="0"/>
      <w:r>
        <w:rPr>
          <w:rFonts w:hint="eastAsia" w:ascii="宋体" w:hAnsi="宋体" w:eastAsia="宋体" w:cs="宋体"/>
          <w:i w:val="0"/>
          <w:iCs w:val="0"/>
          <w:caps w:val="0"/>
          <w:color w:val="auto"/>
          <w:spacing w:val="0"/>
          <w:sz w:val="24"/>
          <w:szCs w:val="24"/>
          <w:highlight w:val="none"/>
          <w:shd w:val="clear" w:color="auto" w:fill="FFFFFF"/>
          <w:lang w:val="en-US" w:eastAsia="zh-CN"/>
        </w:rPr>
        <w:t>勤保障部组织。届时，请投标人准时参加，务必提供公司资质文件（密封盖章）、采购投标文件（密封盖章）、报价一览表（密封盖章）等资料，具体事项如下：</w:t>
      </w:r>
    </w:p>
    <w:p>
      <w:pPr>
        <w:pStyle w:val="13"/>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cs="宋体"/>
          <w:b/>
          <w:bCs/>
          <w:i w:val="0"/>
          <w:iCs w:val="0"/>
          <w:caps w:val="0"/>
          <w:color w:val="auto"/>
          <w:spacing w:val="0"/>
          <w:sz w:val="24"/>
          <w:szCs w:val="24"/>
          <w:highlight w:val="none"/>
          <w:shd w:val="clear" w:color="auto" w:fill="FFFFFF"/>
          <w:lang w:eastAsia="zh-CN"/>
        </w:rPr>
        <w:t>2024年5月10日（星期五）上午09:00</w:t>
      </w:r>
    </w:p>
    <w:p>
      <w:pPr>
        <w:pStyle w:val="13"/>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13"/>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13"/>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line="360" w:lineRule="auto"/>
        <w:ind w:left="479" w:leftChars="228" w:firstLine="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r>
        <w:rPr>
          <w:rFonts w:hint="eastAsia" w:ascii="宋体" w:hAnsi="宋体" w:cs="宋体"/>
          <w:b/>
          <w:bCs/>
          <w:i w:val="0"/>
          <w:iCs w:val="0"/>
          <w:caps w:val="0"/>
          <w:color w:val="auto"/>
          <w:spacing w:val="0"/>
          <w:sz w:val="24"/>
          <w:szCs w:val="24"/>
          <w:highlight w:val="none"/>
          <w:shd w:val="clear" w:color="auto" w:fill="FFFFFF"/>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见附件2-4</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见附件2-5</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i w:val="0"/>
          <w:iCs w:val="0"/>
          <w:caps w:val="0"/>
          <w:color w:val="auto"/>
          <w:spacing w:val="0"/>
          <w:sz w:val="24"/>
          <w:szCs w:val="24"/>
          <w:highlight w:val="none"/>
          <w:shd w:val="clear" w:color="auto" w:fill="FFFFFF"/>
          <w:lang w:val="en-US" w:eastAsia="zh-CN"/>
        </w:rPr>
        <w:t>等</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投标人应在采购文件书中按采购公告的规定和要求附上所有的资格证明文件，要求提供复印件的必须加盖单位印章，并在必要时提供原件备查。</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2024年5月10日（星期五）上午09:00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2024年5月10日（星期五）上午09:00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2024年5月10日（星期五）上午09:00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1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其它说明：</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eastAsia="宋体" w:cs="宋体"/>
          <w:color w:val="auto"/>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王</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eastAsia="宋体" w:cs="宋体"/>
          <w:i w:val="0"/>
          <w:iCs w:val="0"/>
          <w:caps w:val="0"/>
          <w:color w:val="auto"/>
          <w:spacing w:val="0"/>
          <w:sz w:val="24"/>
          <w:szCs w:val="24"/>
          <w:highlight w:val="none"/>
          <w:shd w:val="clear" w:color="auto" w:fill="FFFFFF"/>
          <w:lang w:val="en-US" w:eastAsia="zh-CN"/>
        </w:rPr>
        <w:t>223</w:t>
      </w:r>
      <w:r>
        <w:rPr>
          <w:rFonts w:hint="eastAsia" w:ascii="宋体" w:hAnsi="宋体" w:eastAsia="宋体" w:cs="宋体"/>
          <w:i w:val="0"/>
          <w:iCs w:val="0"/>
          <w:caps w:val="0"/>
          <w:color w:val="auto"/>
          <w:spacing w:val="0"/>
          <w:sz w:val="24"/>
          <w:szCs w:val="24"/>
          <w:highlight w:val="none"/>
          <w:shd w:val="clear" w:color="auto" w:fill="FFFFFF"/>
        </w:rPr>
        <w:t>。</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6"/>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Style w:val="15"/>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其它附件：</w:t>
      </w:r>
    </w:p>
    <w:p>
      <w:pPr>
        <w:pStyle w:val="15"/>
        <w:keepNext w:val="0"/>
        <w:keepLines w:val="0"/>
        <w:pageBreakBefore w:val="0"/>
        <w:kinsoku/>
        <w:wordWrap/>
        <w:overflowPunct/>
        <w:topLinePunct w:val="0"/>
        <w:autoSpaceDE/>
        <w:autoSpaceDN/>
        <w:bidi w:val="0"/>
        <w:spacing w:line="360" w:lineRule="auto"/>
        <w:ind w:left="0" w:leftChars="0" w:firstLine="0" w:firstLineChars="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家具采购清单</w:t>
      </w: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rPr>
      </w:pPr>
      <w:r>
        <w:rPr>
          <w:rFonts w:hint="eastAsia" w:ascii="宋体" w:hAnsi="宋体" w:eastAsia="宋体" w:cs="宋体"/>
          <w:b/>
          <w:bCs/>
          <w:i w:val="0"/>
          <w:caps w:val="0"/>
          <w:color w:val="auto"/>
          <w:spacing w:val="0"/>
          <w:sz w:val="24"/>
          <w:szCs w:val="24"/>
          <w:shd w:val="clear" w:color="auto" w:fill="FFFFFF"/>
          <w:lang w:val="en-US" w:eastAsia="zh-CN"/>
        </w:rPr>
        <w:t>附件1：采购</w:t>
      </w:r>
      <w:r>
        <w:rPr>
          <w:rFonts w:hint="eastAsia" w:ascii="宋体" w:hAnsi="宋体" w:eastAsia="宋体" w:cs="宋体"/>
          <w:b/>
          <w:bCs/>
          <w:i w:val="0"/>
          <w:caps w:val="0"/>
          <w:color w:val="auto"/>
          <w:spacing w:val="0"/>
          <w:sz w:val="24"/>
          <w:szCs w:val="24"/>
          <w:shd w:val="clear" w:color="auto" w:fill="FFFFFF"/>
        </w:rPr>
        <w:t>需求</w:t>
      </w:r>
    </w:p>
    <w:p>
      <w:pPr>
        <w:pStyle w:val="20"/>
        <w:keepNext w:val="0"/>
        <w:keepLines w:val="0"/>
        <w:pageBreakBefore w:val="0"/>
        <w:kinsoku/>
        <w:overflowPunct/>
        <w:topLinePunct w:val="0"/>
        <w:bidi w:val="0"/>
        <w:spacing w:line="360" w:lineRule="auto"/>
        <w:rPr>
          <w:rFonts w:hint="eastAsia" w:ascii="宋体" w:hAnsi="宋体" w:eastAsia="宋体" w:cs="宋体"/>
          <w:b/>
          <w:bCs/>
          <w:i w:val="0"/>
          <w:caps w:val="0"/>
          <w:color w:val="auto"/>
          <w:spacing w:val="0"/>
          <w:sz w:val="24"/>
          <w:szCs w:val="24"/>
          <w:shd w:val="clear" w:color="auto" w:fill="FFFFFF"/>
        </w:rPr>
      </w:pPr>
    </w:p>
    <w:p>
      <w:pPr>
        <w:pStyle w:val="13"/>
        <w:keepNext w:val="0"/>
        <w:keepLines w:val="0"/>
        <w:pageBreakBefore w:val="0"/>
        <w:kinsoku/>
        <w:overflowPunct/>
        <w:topLinePunct w:val="0"/>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一、项目概况</w:t>
      </w:r>
    </w:p>
    <w:p>
      <w:pPr>
        <w:keepNext w:val="0"/>
        <w:keepLines w:val="0"/>
        <w:pageBreakBefore w:val="0"/>
        <w:kinsoku/>
        <w:overflowPunct/>
        <w:topLinePunct w:val="0"/>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i w:val="0"/>
          <w:iCs w:val="0"/>
          <w:caps w:val="0"/>
          <w:color w:val="auto"/>
          <w:spacing w:val="0"/>
          <w:sz w:val="24"/>
          <w:szCs w:val="24"/>
          <w:highlight w:val="none"/>
          <w:shd w:val="clear" w:color="auto" w:fill="FFFFFF"/>
          <w:lang w:val="en-US" w:eastAsia="zh-CN"/>
        </w:rPr>
        <w:t>天府院区健康管理中心一期家具采购项目</w:t>
      </w:r>
      <w:r>
        <w:rPr>
          <w:rFonts w:hint="eastAsia" w:ascii="宋体" w:hAnsi="宋体" w:eastAsia="宋体" w:cs="宋体"/>
          <w:sz w:val="24"/>
          <w:szCs w:val="24"/>
        </w:rPr>
        <w:t>。</w:t>
      </w:r>
    </w:p>
    <w:p>
      <w:pPr>
        <w:keepNext w:val="0"/>
        <w:keepLines w:val="0"/>
        <w:pageBreakBefore w:val="0"/>
        <w:kinsoku/>
        <w:overflowPunct/>
        <w:topLinePunct w:val="0"/>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2.项目位置：成都市双流区岐黄二路1515号。</w:t>
      </w:r>
    </w:p>
    <w:p>
      <w:pPr>
        <w:pStyle w:val="13"/>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二、技术要求及其它</w:t>
      </w:r>
    </w:p>
    <w:p>
      <w:pPr>
        <w:pStyle w:val="13"/>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 见文件要求。</w:t>
      </w:r>
    </w:p>
    <w:p>
      <w:pPr>
        <w:pStyle w:val="13"/>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报价要求</w:t>
      </w:r>
    </w:p>
    <w:p>
      <w:pPr>
        <w:pStyle w:val="13"/>
        <w:keepNext w:val="0"/>
        <w:keepLines w:val="0"/>
        <w:pageBreakBefore w:val="0"/>
        <w:kinsoku/>
        <w:overflowPunct/>
        <w:topLinePunct w:val="0"/>
        <w:bidi w:val="0"/>
        <w:spacing w:line="360" w:lineRule="auto"/>
        <w:rPr>
          <w:rFonts w:hint="default" w:ascii="宋体" w:hAnsi="宋体" w:eastAsia="宋体" w:cs="宋体"/>
          <w:sz w:val="24"/>
          <w:szCs w:val="24"/>
          <w:highlight w:val="none"/>
          <w:lang w:val="en-US" w:eastAsia="zh-CN"/>
        </w:rPr>
      </w:pPr>
      <w:r>
        <w:rPr>
          <w:rFonts w:hint="eastAsia" w:ascii="宋体" w:hAnsi="宋体" w:eastAsia="宋体" w:cs="宋体"/>
          <w:sz w:val="24"/>
          <w:szCs w:val="24"/>
        </w:rPr>
        <w:t>本项目最高限价</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238500</w:t>
      </w:r>
      <w:r>
        <w:rPr>
          <w:rFonts w:hint="eastAsia" w:ascii="宋体" w:hAnsi="宋体" w:eastAsia="宋体" w:cs="宋体"/>
          <w:sz w:val="24"/>
          <w:szCs w:val="24"/>
          <w:highlight w:val="none"/>
          <w:lang w:val="en-US" w:eastAsia="zh-CN"/>
        </w:rPr>
        <w:t>元。</w:t>
      </w:r>
    </w:p>
    <w:p>
      <w:pPr>
        <w:pStyle w:val="13"/>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2.报价方式：综合</w:t>
      </w:r>
      <w:r>
        <w:rPr>
          <w:rFonts w:hint="eastAsia" w:ascii="宋体" w:hAnsi="宋体" w:cs="宋体"/>
          <w:sz w:val="24"/>
          <w:szCs w:val="24"/>
          <w:lang w:val="en-US" w:eastAsia="zh-CN"/>
        </w:rPr>
        <w:t>总价</w:t>
      </w:r>
      <w:r>
        <w:rPr>
          <w:rFonts w:hint="eastAsia" w:ascii="宋体" w:hAnsi="宋体" w:eastAsia="宋体" w:cs="宋体"/>
          <w:sz w:val="24"/>
          <w:szCs w:val="24"/>
        </w:rPr>
        <w:t>。</w:t>
      </w:r>
    </w:p>
    <w:p>
      <w:pPr>
        <w:pStyle w:val="13"/>
        <w:keepNext w:val="0"/>
        <w:keepLines w:val="0"/>
        <w:pageBreakBefore w:val="0"/>
        <w:kinsoku/>
        <w:overflowPunct/>
        <w:topLinePunct w:val="0"/>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、服务单位资质要求</w:t>
      </w:r>
    </w:p>
    <w:p>
      <w:pPr>
        <w:pStyle w:val="13"/>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1.详见正文；</w:t>
      </w:r>
    </w:p>
    <w:p>
      <w:pPr>
        <w:pStyle w:val="13"/>
        <w:keepNext w:val="0"/>
        <w:keepLines w:val="0"/>
        <w:pageBreakBefore w:val="0"/>
        <w:kinsoku/>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2.本次招标不接受联合体投标。</w:t>
      </w:r>
    </w:p>
    <w:p>
      <w:pPr>
        <w:keepNext w:val="0"/>
        <w:keepLines w:val="0"/>
        <w:pageBreakBefore w:val="0"/>
        <w:kinsoku/>
        <w:overflowPunct/>
        <w:topLinePunct w:val="0"/>
        <w:bidi w:val="0"/>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四</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综合评分明细表</w:t>
      </w:r>
    </w:p>
    <w:tbl>
      <w:tblPr>
        <w:tblStyle w:val="16"/>
        <w:tblpPr w:leftFromText="180" w:rightFromText="180" w:vertAnchor="text" w:horzAnchor="page" w:tblpX="1780" w:tblpY="715"/>
        <w:tblOverlap w:val="never"/>
        <w:tblW w:w="8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1182"/>
        <w:gridCol w:w="5161"/>
        <w:gridCol w:w="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278" w:type="dxa"/>
            <w:vAlign w:val="center"/>
          </w:tcPr>
          <w:p>
            <w:pPr>
              <w:keepNext/>
              <w:widowControl/>
              <w:spacing w:line="320" w:lineRule="exact"/>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评委类别</w:t>
            </w:r>
          </w:p>
        </w:tc>
        <w:tc>
          <w:tcPr>
            <w:tcW w:w="1182" w:type="dxa"/>
            <w:vAlign w:val="center"/>
          </w:tcPr>
          <w:p>
            <w:pPr>
              <w:keepNext/>
              <w:widowControl/>
              <w:spacing w:line="32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评审项目</w:t>
            </w:r>
          </w:p>
        </w:tc>
        <w:tc>
          <w:tcPr>
            <w:tcW w:w="5161" w:type="dxa"/>
            <w:vAlign w:val="center"/>
          </w:tcPr>
          <w:p>
            <w:pPr>
              <w:keepNext/>
              <w:widowControl/>
              <w:spacing w:line="32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评分标准</w:t>
            </w:r>
          </w:p>
        </w:tc>
        <w:tc>
          <w:tcPr>
            <w:tcW w:w="824" w:type="dxa"/>
            <w:vAlign w:val="center"/>
          </w:tcPr>
          <w:p>
            <w:pPr>
              <w:keepNext/>
              <w:widowControl/>
              <w:spacing w:line="32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1278" w:type="dxa"/>
            <w:vAlign w:val="center"/>
          </w:tcPr>
          <w:p>
            <w:pPr>
              <w:spacing w:line="4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评审委员会成员</w:t>
            </w:r>
          </w:p>
        </w:tc>
        <w:tc>
          <w:tcPr>
            <w:tcW w:w="1182" w:type="dxa"/>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报价评审</w:t>
            </w:r>
          </w:p>
        </w:tc>
        <w:tc>
          <w:tcPr>
            <w:tcW w:w="5161"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以满足招标文件要求且投标价格最低的投标报价为基准价，投标报价分值=(基准价／投标报价)×100×30%（保留两位小数）</w:t>
            </w:r>
          </w:p>
        </w:tc>
        <w:tc>
          <w:tcPr>
            <w:tcW w:w="824"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trPr>
        <w:tc>
          <w:tcPr>
            <w:tcW w:w="1278" w:type="dxa"/>
            <w:vAlign w:val="center"/>
          </w:tcPr>
          <w:p>
            <w:pPr>
              <w:spacing w:line="4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技术类评委</w:t>
            </w:r>
          </w:p>
        </w:tc>
        <w:tc>
          <w:tcPr>
            <w:tcW w:w="1182" w:type="dxa"/>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技术参数及要求</w:t>
            </w:r>
          </w:p>
        </w:tc>
        <w:tc>
          <w:tcPr>
            <w:tcW w:w="5161" w:type="dxa"/>
            <w:vAlign w:val="center"/>
          </w:tcPr>
          <w:p>
            <w:pPr>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1、投标人的投标产品完全响应并满足招标文件“采购清单及技术要求”得44分，带▲的技术参数出现负偏离的一项扣2分（共22项），最多44分，扣完为止。（</w:t>
            </w:r>
            <w:r>
              <w:rPr>
                <w:rFonts w:hint="eastAsia" w:ascii="宋体" w:hAnsi="宋体" w:eastAsia="宋体" w:cs="宋体"/>
                <w:b/>
                <w:bCs/>
                <w:color w:val="auto"/>
                <w:sz w:val="24"/>
                <w:szCs w:val="24"/>
              </w:rPr>
              <w:t>注：①带▲的技术参数为货物的重点参数，均需提供国家认可的检验检测机构出具的检验检测报告为佐证材料，检验报告封面需有CMA或CNAS标志,封面有二维码可查询，不提供或提供的检验检测报告不满足技术要求的不得分；②中标供应商在签订合同前3天内，向采购单位提供检验报告原件查验</w:t>
            </w:r>
            <w:r>
              <w:rPr>
                <w:rFonts w:hint="eastAsia" w:ascii="宋体" w:hAnsi="宋体" w:eastAsia="宋体" w:cs="宋体"/>
                <w:color w:val="auto"/>
                <w:sz w:val="24"/>
                <w:szCs w:val="24"/>
              </w:rPr>
              <w:t>。</w:t>
            </w:r>
            <w:r>
              <w:rPr>
                <w:rFonts w:hint="eastAsia" w:ascii="宋体" w:hAnsi="宋体" w:eastAsia="宋体" w:cs="宋体"/>
                <w:b/>
                <w:color w:val="auto"/>
                <w:sz w:val="24"/>
                <w:szCs w:val="24"/>
              </w:rPr>
              <w:t>如有弄虚作假，上报相关部门.）</w:t>
            </w:r>
          </w:p>
        </w:tc>
        <w:tc>
          <w:tcPr>
            <w:tcW w:w="824"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44分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278" w:type="dxa"/>
            <w:vAlign w:val="center"/>
          </w:tcPr>
          <w:p>
            <w:pPr>
              <w:spacing w:line="4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评审委员会成员</w:t>
            </w:r>
          </w:p>
        </w:tc>
        <w:tc>
          <w:tcPr>
            <w:tcW w:w="1182" w:type="dxa"/>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履约能力</w:t>
            </w:r>
          </w:p>
        </w:tc>
        <w:tc>
          <w:tcPr>
            <w:tcW w:w="5161" w:type="dxa"/>
            <w:vAlign w:val="center"/>
          </w:tcPr>
          <w:p>
            <w:pPr>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1、投标人提供有效内五星级绿色供应链认证证书，产品认证范围若包含：衣柜、办公桌的，包含一项加2分，最多加4分。</w:t>
            </w:r>
          </w:p>
          <w:p>
            <w:pPr>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2、投标人提供有效期内家具中有害物质限量认证证书，认证范围若包含：衣柜、办公桌的，包含一项加2分，最多加4分。</w:t>
            </w:r>
          </w:p>
          <w:p>
            <w:pPr>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提供上述1~2项的证书复印件加盖投标人公章，并提供提供在“全国认证认可信息公告服务平台（http://cx.cnca.cn/CertECloud/index/index/page）”网络查询截图.</w:t>
            </w:r>
          </w:p>
        </w:tc>
        <w:tc>
          <w:tcPr>
            <w:tcW w:w="824"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278" w:type="dxa"/>
            <w:vAlign w:val="center"/>
          </w:tcPr>
          <w:p>
            <w:pPr>
              <w:spacing w:line="4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评审委员会成员</w:t>
            </w:r>
          </w:p>
        </w:tc>
        <w:tc>
          <w:tcPr>
            <w:tcW w:w="1182" w:type="dxa"/>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项目实施方案</w:t>
            </w:r>
          </w:p>
        </w:tc>
        <w:tc>
          <w:tcPr>
            <w:tcW w:w="5161"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根据投标人对本项目的供货实施方案（包括但不限于）：①项目实施计划②项目实施措施③安装实施方案④生产、包装及运输安装流程说明等，投标人供货实施方案完整详尽、高效可行，能够保障项目顺利实施。方案详尽且符合采购需求的的得8分，每有一项内容缺失扣2分，每有一项内容错误或缺陷的扣0.5分，扣完为止。（内容错误或缺陷指：内容凭空捏造不符合项目实际需求、内容与本项目无关、只有标题无内容、文字明显错误）。</w:t>
            </w:r>
          </w:p>
        </w:tc>
        <w:tc>
          <w:tcPr>
            <w:tcW w:w="824"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278" w:type="dxa"/>
            <w:vAlign w:val="center"/>
          </w:tcPr>
          <w:p>
            <w:pPr>
              <w:spacing w:line="4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评审委员会成员</w:t>
            </w:r>
          </w:p>
        </w:tc>
        <w:tc>
          <w:tcPr>
            <w:tcW w:w="1182" w:type="dxa"/>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项目业绩</w:t>
            </w:r>
          </w:p>
        </w:tc>
        <w:tc>
          <w:tcPr>
            <w:tcW w:w="5161" w:type="dxa"/>
          </w:tcPr>
          <w:p>
            <w:pPr>
              <w:pStyle w:val="24"/>
              <w:spacing w:before="60"/>
              <w:ind w:left="1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提供投标人202</w:t>
            </w:r>
            <w:r>
              <w:rPr>
                <w:rFonts w:hint="eastAsia" w:cs="宋体"/>
                <w:color w:val="auto"/>
                <w:kern w:val="2"/>
                <w:sz w:val="24"/>
                <w:szCs w:val="24"/>
                <w:lang w:val="en-US" w:eastAsia="zh-CN"/>
              </w:rPr>
              <w:t>1</w:t>
            </w:r>
            <w:r>
              <w:rPr>
                <w:rFonts w:hint="eastAsia" w:ascii="宋体" w:hAnsi="宋体" w:eastAsia="宋体" w:cs="宋体"/>
                <w:color w:val="auto"/>
                <w:kern w:val="2"/>
                <w:sz w:val="24"/>
                <w:szCs w:val="24"/>
              </w:rPr>
              <w:t>年1月1日以后（含1日）签订类似业绩合同，每有一个得1分；最多得2分。【说明：提供中标（或成交）通知书或合同复印件】</w:t>
            </w:r>
          </w:p>
        </w:tc>
        <w:tc>
          <w:tcPr>
            <w:tcW w:w="824"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1278" w:type="dxa"/>
            <w:vAlign w:val="center"/>
          </w:tcPr>
          <w:p>
            <w:pPr>
              <w:spacing w:line="400" w:lineRule="exact"/>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评审委员会成员</w:t>
            </w:r>
          </w:p>
        </w:tc>
        <w:tc>
          <w:tcPr>
            <w:tcW w:w="1182" w:type="dxa"/>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节能环保</w:t>
            </w:r>
          </w:p>
        </w:tc>
        <w:tc>
          <w:tcPr>
            <w:tcW w:w="5161"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投标产品中每有一项为优先采购节能产品或环境标志产品的得4分，最多8分。</w:t>
            </w:r>
          </w:p>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需提供国家认定的认证机构出具的有效节能产品或环境标志产品认证证书复印件或扫描件并加盖投标单位公章。</w:t>
            </w:r>
          </w:p>
        </w:tc>
        <w:tc>
          <w:tcPr>
            <w:tcW w:w="824" w:type="dxa"/>
            <w:vAlign w:val="center"/>
          </w:tcPr>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8分</w:t>
            </w:r>
          </w:p>
        </w:tc>
      </w:tr>
    </w:tbl>
    <w:p>
      <w:pPr>
        <w:keepNext w:val="0"/>
        <w:keepLines w:val="0"/>
        <w:pageBreakBefore w:val="0"/>
        <w:kinsoku/>
        <w:overflowPunct/>
        <w:topLinePunct w:val="0"/>
        <w:bidi w:val="0"/>
        <w:spacing w:line="360" w:lineRule="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6"/>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auto"/>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6"/>
        <w:tblpPr w:leftFromText="180" w:rightFromText="180" w:vertAnchor="text" w:horzAnchor="page" w:tblpX="1597" w:tblpY="90"/>
        <w:tblOverlap w:val="never"/>
        <w:tblW w:w="5186" w:type="pct"/>
        <w:tblInd w:w="0" w:type="dxa"/>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Layout w:type="fixed"/>
        <w:tblCellMar>
          <w:top w:w="120" w:type="dxa"/>
          <w:left w:w="120" w:type="dxa"/>
          <w:bottom w:w="120" w:type="dxa"/>
          <w:right w:w="120" w:type="dxa"/>
        </w:tblCellMar>
      </w:tblPr>
      <w:tblGrid>
        <w:gridCol w:w="855"/>
        <w:gridCol w:w="1095"/>
        <w:gridCol w:w="1755"/>
        <w:gridCol w:w="885"/>
        <w:gridCol w:w="750"/>
        <w:gridCol w:w="1365"/>
        <w:gridCol w:w="1215"/>
        <w:gridCol w:w="930"/>
        <w:gridCol w:w="810"/>
      </w:tblGrid>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rPr>
          <w:trHeight w:val="227" w:hRule="atLeast"/>
        </w:trPr>
        <w:tc>
          <w:tcPr>
            <w:tcW w:w="855"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序号</w:t>
            </w:r>
          </w:p>
        </w:tc>
        <w:tc>
          <w:tcPr>
            <w:tcW w:w="1095"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物资名称</w:t>
            </w:r>
          </w:p>
        </w:tc>
        <w:tc>
          <w:tcPr>
            <w:tcW w:w="1755"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规格</w:t>
            </w:r>
          </w:p>
        </w:tc>
        <w:tc>
          <w:tcPr>
            <w:tcW w:w="885"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单位</w:t>
            </w:r>
          </w:p>
        </w:tc>
        <w:tc>
          <w:tcPr>
            <w:tcW w:w="75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rPr>
            </w:pPr>
            <w:r>
              <w:rPr>
                <w:rFonts w:hint="eastAsia" w:ascii="宋体" w:hAnsi="宋体" w:eastAsia="宋体" w:cs="宋体"/>
                <w:i w:val="0"/>
                <w:iCs w:val="0"/>
                <w:color w:val="000000"/>
                <w:kern w:val="0"/>
                <w:sz w:val="24"/>
                <w:szCs w:val="24"/>
                <w:u w:val="none"/>
                <w:lang w:val="en-US" w:eastAsia="zh-CN" w:bidi="ar"/>
              </w:rPr>
              <w:t>数量</w:t>
            </w:r>
          </w:p>
        </w:tc>
        <w:tc>
          <w:tcPr>
            <w:tcW w:w="1365"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b w:val="0"/>
                <w:bCs w:val="0"/>
                <w:color w:val="000000"/>
                <w:kern w:val="0"/>
                <w:sz w:val="24"/>
                <w:szCs w:val="24"/>
                <w:lang w:val="en-US" w:eastAsia="zh-CN" w:bidi="ar-SA"/>
              </w:rPr>
            </w:pPr>
            <w:r>
              <w:rPr>
                <w:rFonts w:hint="eastAsia" w:ascii="宋体" w:hAnsi="宋体" w:cs="宋体"/>
                <w:b w:val="0"/>
                <w:bCs w:val="0"/>
                <w:color w:val="FF0000"/>
                <w:kern w:val="0"/>
                <w:sz w:val="24"/>
                <w:szCs w:val="24"/>
                <w:lang w:val="en-US" w:eastAsia="zh-CN" w:bidi="ar-SA"/>
              </w:rPr>
              <w:t>单价限价（元）</w:t>
            </w:r>
          </w:p>
        </w:tc>
        <w:tc>
          <w:tcPr>
            <w:tcW w:w="1215"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单价</w:t>
            </w:r>
            <w:r>
              <w:rPr>
                <w:rFonts w:hint="eastAsia" w:ascii="宋体" w:hAnsi="宋体" w:eastAsia="宋体" w:cs="宋体"/>
                <w:i w:val="0"/>
                <w:iCs w:val="0"/>
                <w:color w:val="000000"/>
                <w:kern w:val="0"/>
                <w:sz w:val="24"/>
                <w:szCs w:val="24"/>
                <w:u w:val="none"/>
                <w:lang w:val="en-US" w:eastAsia="zh-CN" w:bidi="ar"/>
              </w:rPr>
              <w:t>报价</w:t>
            </w:r>
            <w:r>
              <w:rPr>
                <w:rFonts w:hint="eastAsia" w:ascii="宋体" w:hAnsi="宋体" w:cs="宋体"/>
                <w:i w:val="0"/>
                <w:iCs w:val="0"/>
                <w:color w:val="000000"/>
                <w:kern w:val="0"/>
                <w:sz w:val="24"/>
                <w:szCs w:val="24"/>
                <w:u w:val="none"/>
                <w:lang w:val="en-US" w:eastAsia="zh-CN" w:bidi="ar"/>
              </w:rPr>
              <w:t>（元）</w:t>
            </w:r>
          </w:p>
        </w:tc>
        <w:tc>
          <w:tcPr>
            <w:tcW w:w="93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总价（元）</w:t>
            </w:r>
          </w:p>
        </w:tc>
        <w:tc>
          <w:tcPr>
            <w:tcW w:w="810" w:type="dxa"/>
            <w:tcBorders>
              <w:top w:val="single" w:color="D2D2D2" w:sz="6" w:space="0"/>
              <w:left w:val="single" w:color="D2D2D2" w:sz="6" w:space="0"/>
              <w:bottom w:val="single" w:color="D2D2D2" w:sz="6" w:space="0"/>
              <w:right w:val="single" w:color="D2D2D2" w:sz="6" w:space="0"/>
            </w:tcBorders>
            <w:shd w:val="clear" w:color="auto" w:fill="F6F6F6"/>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备注</w:t>
            </w: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前台</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4800*(1800)800*1100</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米</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6.6</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4305.6</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椅子</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标准</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把</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3</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699.3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前台椅</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标准</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把</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3</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501.3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4</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大厅等候沙发</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sz w:val="24"/>
                <w:szCs w:val="24"/>
              </w:rPr>
              <w:t>标准</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套</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11880</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5</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茶几</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定制</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套</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2145.6</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6</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定制衣柜</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rPr>
            </w:pPr>
            <w:r>
              <w:rPr>
                <w:rFonts w:hint="eastAsia" w:ascii="宋体" w:hAnsi="宋体" w:eastAsia="宋体" w:cs="宋体"/>
                <w:i w:val="0"/>
                <w:iCs w:val="0"/>
                <w:color w:val="000000"/>
                <w:kern w:val="0"/>
                <w:sz w:val="24"/>
                <w:szCs w:val="24"/>
                <w:u w:val="none"/>
                <w:lang w:val="en-US" w:eastAsia="zh-CN" w:bidi="ar"/>
              </w:rPr>
              <w:t>2000*500*900</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组</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1374.3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7</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定制采血台</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rPr>
            </w:pP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米</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8.78</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3255.3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8</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椅子</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标准</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把</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576</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9</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吧椅</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标准</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套</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14</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627.3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检查桌1</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1600*1500*760</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套</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4</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1323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11</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检查办公桌</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1400*700*760</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张</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7</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2199.6</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12</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医生椅</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标准</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把</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708.3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13</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坐椅</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标准</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把</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501.3</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14</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定制柜</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1200*500*2000</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组</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1764</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15</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检查床</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1800*600*750</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张</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1200.6</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16</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沙发（等侯区）</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定制</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米</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30</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1965.6</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17</w:t>
            </w: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智能电子存包柜</w:t>
            </w: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1800*900*460</w:t>
            </w: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组</w:t>
            </w: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widowControl/>
              <w:suppressLineNumbers w:val="0"/>
              <w:jc w:val="center"/>
              <w:textAlignment w:val="center"/>
              <w:rPr>
                <w:rFonts w:hint="eastAsia" w:ascii="等线" w:hAnsi="等线" w:eastAsia="等线" w:cs="等线"/>
                <w:i w:val="0"/>
                <w:iCs w:val="0"/>
                <w:color w:val="000000"/>
                <w:kern w:val="2"/>
                <w:sz w:val="22"/>
                <w:szCs w:val="22"/>
                <w:u w:val="none"/>
                <w:lang w:val="en-US" w:eastAsia="zh-CN" w:bidi="ar-SA"/>
              </w:rPr>
            </w:pPr>
            <w:r>
              <w:rPr>
                <w:rFonts w:hint="eastAsia" w:ascii="等线" w:hAnsi="等线" w:eastAsia="等线" w:cs="等线"/>
                <w:i w:val="0"/>
                <w:iCs w:val="0"/>
                <w:color w:val="000000"/>
                <w:kern w:val="0"/>
                <w:sz w:val="22"/>
                <w:szCs w:val="22"/>
                <w:u w:val="none"/>
                <w:lang w:val="en-US" w:eastAsia="zh-CN" w:bidi="ar"/>
              </w:rPr>
              <w:t>4275</w:t>
            </w: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D2D2D2" w:sz="6" w:space="0"/>
            <w:left w:val="single" w:color="D2D2D2" w:sz="6" w:space="0"/>
            <w:bottom w:val="single" w:color="D2D2D2" w:sz="6" w:space="0"/>
            <w:right w:val="single" w:color="D2D2D2" w:sz="6" w:space="0"/>
            <w:insideH w:val="none" w:color="auto" w:sz="0" w:space="0"/>
            <w:insideV w:val="none" w:color="auto" w:sz="0" w:space="0"/>
          </w:tblBorders>
          <w:shd w:val="clear" w:color="auto" w:fill="FFFFFF"/>
          <w:tblCellMar>
            <w:top w:w="120" w:type="dxa"/>
            <w:left w:w="120" w:type="dxa"/>
            <w:bottom w:w="120" w:type="dxa"/>
            <w:right w:w="120" w:type="dxa"/>
          </w:tblCellMar>
        </w:tblPrEx>
        <w:tc>
          <w:tcPr>
            <w:tcW w:w="8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overflowPunct/>
              <w:topLinePunct w:val="0"/>
              <w:bidi w:val="0"/>
              <w:spacing w:line="360" w:lineRule="auto"/>
              <w:jc w:val="center"/>
              <w:rPr>
                <w:rFonts w:hint="eastAsia" w:ascii="宋体" w:hAnsi="宋体" w:cs="宋体"/>
                <w:b w:val="0"/>
                <w:bCs w:val="0"/>
                <w:color w:val="000000"/>
                <w:kern w:val="0"/>
                <w:sz w:val="24"/>
                <w:szCs w:val="24"/>
                <w:lang w:val="en-US" w:eastAsia="zh-CN"/>
              </w:rPr>
            </w:pPr>
          </w:p>
        </w:tc>
        <w:tc>
          <w:tcPr>
            <w:tcW w:w="109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rPr>
            </w:pPr>
          </w:p>
        </w:tc>
        <w:tc>
          <w:tcPr>
            <w:tcW w:w="175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eastAsia="宋体" w:cs="宋体"/>
                <w:sz w:val="24"/>
                <w:szCs w:val="24"/>
                <w:lang w:val="en-US" w:eastAsia="zh-CN"/>
              </w:rPr>
            </w:pPr>
          </w:p>
        </w:tc>
        <w:tc>
          <w:tcPr>
            <w:tcW w:w="88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kinsoku/>
              <w:wordWrap w:val="0"/>
              <w:overflowPunct/>
              <w:topLinePunct w:val="0"/>
              <w:bidi w:val="0"/>
              <w:spacing w:line="360" w:lineRule="auto"/>
              <w:jc w:val="center"/>
              <w:rPr>
                <w:rFonts w:hint="eastAsia" w:ascii="宋体" w:hAnsi="宋体" w:cs="宋体"/>
                <w:b w:val="0"/>
                <w:bCs w:val="0"/>
                <w:color w:val="000000"/>
                <w:kern w:val="0"/>
                <w:sz w:val="24"/>
                <w:szCs w:val="24"/>
                <w:lang w:val="en-US" w:eastAsia="zh-CN"/>
              </w:rPr>
            </w:pPr>
          </w:p>
        </w:tc>
        <w:tc>
          <w:tcPr>
            <w:tcW w:w="75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cs="宋体"/>
                <w:i w:val="0"/>
                <w:iCs w:val="0"/>
                <w:color w:val="000000"/>
                <w:kern w:val="0"/>
                <w:sz w:val="24"/>
                <w:szCs w:val="24"/>
                <w:u w:val="none"/>
                <w:lang w:val="en-US" w:eastAsia="zh-CN" w:bidi="ar"/>
              </w:rPr>
            </w:pPr>
          </w:p>
        </w:tc>
        <w:tc>
          <w:tcPr>
            <w:tcW w:w="136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b w:val="0"/>
                <w:bCs w:val="0"/>
                <w:color w:val="000000"/>
                <w:kern w:val="0"/>
                <w:sz w:val="24"/>
                <w:szCs w:val="24"/>
                <w:lang w:val="en-US" w:eastAsia="zh-CN" w:bidi="ar-SA"/>
              </w:rPr>
            </w:pPr>
          </w:p>
        </w:tc>
        <w:tc>
          <w:tcPr>
            <w:tcW w:w="1215"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合计</w:t>
            </w:r>
          </w:p>
        </w:tc>
        <w:tc>
          <w:tcPr>
            <w:tcW w:w="93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c>
          <w:tcPr>
            <w:tcW w:w="810" w:type="dxa"/>
            <w:tcBorders>
              <w:top w:val="single" w:color="D2D2D2" w:sz="6" w:space="0"/>
              <w:left w:val="single" w:color="D2D2D2" w:sz="6" w:space="0"/>
              <w:bottom w:val="single" w:color="D2D2D2" w:sz="6" w:space="0"/>
              <w:right w:val="single" w:color="D2D2D2" w:sz="6" w:space="0"/>
            </w:tcBorders>
            <w:shd w:val="clear" w:color="auto" w:fill="FFFFFF"/>
            <w:vAlign w:val="center"/>
          </w:tcPr>
          <w:p>
            <w:pPr>
              <w:keepNext w:val="0"/>
              <w:keepLines w:val="0"/>
              <w:pageBreakBefore w:val="0"/>
              <w:widowControl/>
              <w:suppressLineNumbers w:val="0"/>
              <w:kinsoku/>
              <w:overflowPunct/>
              <w:topLinePunct w:val="0"/>
              <w:bidi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pStyle w:val="13"/>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本次报价</w:t>
      </w:r>
      <w:r>
        <w:rPr>
          <w:rFonts w:hint="eastAsia" w:ascii="宋体" w:hAnsi="宋体" w:cs="宋体"/>
          <w:color w:val="auto"/>
          <w:kern w:val="0"/>
          <w:sz w:val="24"/>
          <w:szCs w:val="24"/>
          <w:highlight w:val="none"/>
          <w:lang w:val="en-US" w:eastAsia="zh-CN"/>
        </w:rPr>
        <w:t>总价不得超过最高限价否则视为无效报价。</w:t>
      </w:r>
      <w:r>
        <w:rPr>
          <w:rFonts w:hint="eastAsia" w:ascii="宋体" w:hAnsi="宋体" w:eastAsia="宋体" w:cs="宋体"/>
          <w:color w:val="auto"/>
          <w:kern w:val="0"/>
          <w:sz w:val="24"/>
          <w:szCs w:val="24"/>
          <w:highlight w:val="none"/>
          <w:lang w:val="en-US" w:eastAsia="zh-CN"/>
        </w:rPr>
        <w:t>请供应商充分考虑零星性。</w:t>
      </w:r>
    </w:p>
    <w:p>
      <w:pPr>
        <w:pStyle w:val="13"/>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pStyle w:val="13"/>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4"/>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8"/>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22"/>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5"/>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rPr>
      </w:pPr>
    </w:p>
    <w:sectPr>
      <w:headerReference r:id="rId3" w:type="default"/>
      <w:footerReference r:id="rId4" w:type="default"/>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left"/>
      <w:rPr>
        <w:rFonts w:hint="eastAsia" w:eastAsia="宋体"/>
        <w:lang w:eastAsia="zh-CN"/>
      </w:rPr>
    </w:pPr>
  </w:p>
  <w:p>
    <w:pPr>
      <w:pStyle w:val="10"/>
      <w:pBdr>
        <w:bottom w:val="none" w:color="auto" w:sz="0" w:space="0"/>
      </w:pBdr>
      <w:jc w:val="left"/>
      <w:rPr>
        <w:rFonts w:hint="eastAsia" w:eastAsia="宋体"/>
        <w:lang w:eastAsia="zh-CN"/>
      </w:rPr>
    </w:pPr>
  </w:p>
  <w:p>
    <w:pPr>
      <w:pStyle w:val="10"/>
      <w:pBdr>
        <w:bottom w:val="none" w:color="auto" w:sz="0" w:space="0"/>
      </w:pBdr>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A78CFE"/>
    <w:multiLevelType w:val="singleLevel"/>
    <w:tmpl w:val="8BA78CFE"/>
    <w:lvl w:ilvl="0" w:tentative="0">
      <w:start w:val="9"/>
      <w:numFmt w:val="decimal"/>
      <w:lvlText w:val="%1."/>
      <w:lvlJc w:val="left"/>
      <w:pPr>
        <w:tabs>
          <w:tab w:val="left" w:pos="312"/>
        </w:tabs>
      </w:p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4E21CBA"/>
    <w:multiLevelType w:val="singleLevel"/>
    <w:tmpl w:val="B4E21CBA"/>
    <w:lvl w:ilvl="0" w:tentative="0">
      <w:start w:val="1"/>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737527"/>
    <w:rsid w:val="00984987"/>
    <w:rsid w:val="01582E9F"/>
    <w:rsid w:val="022561DB"/>
    <w:rsid w:val="024B5F91"/>
    <w:rsid w:val="02592AC5"/>
    <w:rsid w:val="02E53A75"/>
    <w:rsid w:val="0423435A"/>
    <w:rsid w:val="04831DF5"/>
    <w:rsid w:val="04C176DC"/>
    <w:rsid w:val="0533298B"/>
    <w:rsid w:val="05AC5F14"/>
    <w:rsid w:val="05CD03BE"/>
    <w:rsid w:val="07AF5FEE"/>
    <w:rsid w:val="08810B5D"/>
    <w:rsid w:val="088710D9"/>
    <w:rsid w:val="094F5478"/>
    <w:rsid w:val="09A70AB9"/>
    <w:rsid w:val="09F4147B"/>
    <w:rsid w:val="0A277760"/>
    <w:rsid w:val="0ACF324E"/>
    <w:rsid w:val="0B565E48"/>
    <w:rsid w:val="0B5E2A33"/>
    <w:rsid w:val="0C0418A5"/>
    <w:rsid w:val="0C1A446B"/>
    <w:rsid w:val="0CC42C4A"/>
    <w:rsid w:val="0CE1020E"/>
    <w:rsid w:val="0CE90D83"/>
    <w:rsid w:val="0D272843"/>
    <w:rsid w:val="0E7D3C55"/>
    <w:rsid w:val="0F4628CF"/>
    <w:rsid w:val="0F71729A"/>
    <w:rsid w:val="0F914A2F"/>
    <w:rsid w:val="0FD4292A"/>
    <w:rsid w:val="10863CAA"/>
    <w:rsid w:val="109819C6"/>
    <w:rsid w:val="10DB653E"/>
    <w:rsid w:val="112F7D4C"/>
    <w:rsid w:val="114C276E"/>
    <w:rsid w:val="11CE52C6"/>
    <w:rsid w:val="12173925"/>
    <w:rsid w:val="129243DD"/>
    <w:rsid w:val="129B4B68"/>
    <w:rsid w:val="12BB52A2"/>
    <w:rsid w:val="13E76168"/>
    <w:rsid w:val="14706D5B"/>
    <w:rsid w:val="15517106"/>
    <w:rsid w:val="15855BCE"/>
    <w:rsid w:val="15B71161"/>
    <w:rsid w:val="16795C6E"/>
    <w:rsid w:val="177F6166"/>
    <w:rsid w:val="192B394B"/>
    <w:rsid w:val="196B01BF"/>
    <w:rsid w:val="1A8B0593"/>
    <w:rsid w:val="1AB2584E"/>
    <w:rsid w:val="1B9907D4"/>
    <w:rsid w:val="1C151423"/>
    <w:rsid w:val="1C962C76"/>
    <w:rsid w:val="1CBB7632"/>
    <w:rsid w:val="1D7B096A"/>
    <w:rsid w:val="1D7D134A"/>
    <w:rsid w:val="1DC80A69"/>
    <w:rsid w:val="1E8F0832"/>
    <w:rsid w:val="1E9514A0"/>
    <w:rsid w:val="1F051509"/>
    <w:rsid w:val="1FD72787"/>
    <w:rsid w:val="20AF2A2B"/>
    <w:rsid w:val="20DA106C"/>
    <w:rsid w:val="20EF1296"/>
    <w:rsid w:val="212B1E31"/>
    <w:rsid w:val="21362EB0"/>
    <w:rsid w:val="2161289E"/>
    <w:rsid w:val="21AD5563"/>
    <w:rsid w:val="21F50B43"/>
    <w:rsid w:val="231A50A3"/>
    <w:rsid w:val="23305048"/>
    <w:rsid w:val="236E081B"/>
    <w:rsid w:val="2487307B"/>
    <w:rsid w:val="2508096D"/>
    <w:rsid w:val="25101CDA"/>
    <w:rsid w:val="25550458"/>
    <w:rsid w:val="2559103D"/>
    <w:rsid w:val="255D565D"/>
    <w:rsid w:val="25685003"/>
    <w:rsid w:val="256C23F4"/>
    <w:rsid w:val="25C97BEE"/>
    <w:rsid w:val="26E41B28"/>
    <w:rsid w:val="281955CF"/>
    <w:rsid w:val="281D195D"/>
    <w:rsid w:val="29266E1A"/>
    <w:rsid w:val="295D4F3D"/>
    <w:rsid w:val="2A044599"/>
    <w:rsid w:val="2A0F7B8F"/>
    <w:rsid w:val="2B05240B"/>
    <w:rsid w:val="2B4470EF"/>
    <w:rsid w:val="2B7C00E6"/>
    <w:rsid w:val="2BEA4A34"/>
    <w:rsid w:val="2BF4266B"/>
    <w:rsid w:val="2CB371D5"/>
    <w:rsid w:val="2CF3776A"/>
    <w:rsid w:val="2D0C3CF4"/>
    <w:rsid w:val="2D452F54"/>
    <w:rsid w:val="2D611200"/>
    <w:rsid w:val="2D7F4851"/>
    <w:rsid w:val="2E9A2201"/>
    <w:rsid w:val="2F7F199B"/>
    <w:rsid w:val="30806B9E"/>
    <w:rsid w:val="30B43B75"/>
    <w:rsid w:val="30C01668"/>
    <w:rsid w:val="31650772"/>
    <w:rsid w:val="31C845BB"/>
    <w:rsid w:val="31E9143D"/>
    <w:rsid w:val="326B2A66"/>
    <w:rsid w:val="33886860"/>
    <w:rsid w:val="33CD1809"/>
    <w:rsid w:val="34A55F9D"/>
    <w:rsid w:val="34BE33D7"/>
    <w:rsid w:val="35344E80"/>
    <w:rsid w:val="35B83942"/>
    <w:rsid w:val="35DB18E9"/>
    <w:rsid w:val="361A126B"/>
    <w:rsid w:val="363D5D70"/>
    <w:rsid w:val="36545D30"/>
    <w:rsid w:val="36BF0CFE"/>
    <w:rsid w:val="36EC758F"/>
    <w:rsid w:val="37671CCB"/>
    <w:rsid w:val="382156FA"/>
    <w:rsid w:val="383D10D3"/>
    <w:rsid w:val="38FA4D0A"/>
    <w:rsid w:val="39A43E9E"/>
    <w:rsid w:val="3BDD1C9A"/>
    <w:rsid w:val="3C6234CA"/>
    <w:rsid w:val="3C712D37"/>
    <w:rsid w:val="3CB36193"/>
    <w:rsid w:val="3CE64969"/>
    <w:rsid w:val="3D5123A5"/>
    <w:rsid w:val="3E3C3D7F"/>
    <w:rsid w:val="3EE80B50"/>
    <w:rsid w:val="3F0F3FAB"/>
    <w:rsid w:val="3F3D74FE"/>
    <w:rsid w:val="3FBC281F"/>
    <w:rsid w:val="41AD16C5"/>
    <w:rsid w:val="432A1B18"/>
    <w:rsid w:val="43E06BC0"/>
    <w:rsid w:val="450B6A83"/>
    <w:rsid w:val="453413AE"/>
    <w:rsid w:val="4537221B"/>
    <w:rsid w:val="45631693"/>
    <w:rsid w:val="46263727"/>
    <w:rsid w:val="480004B0"/>
    <w:rsid w:val="481E41DD"/>
    <w:rsid w:val="48A06651"/>
    <w:rsid w:val="49492114"/>
    <w:rsid w:val="495777FB"/>
    <w:rsid w:val="4AF20173"/>
    <w:rsid w:val="4B0729A6"/>
    <w:rsid w:val="4B0C6E2E"/>
    <w:rsid w:val="4B2655D3"/>
    <w:rsid w:val="4BAE772A"/>
    <w:rsid w:val="4BB17333"/>
    <w:rsid w:val="4BE53A39"/>
    <w:rsid w:val="4C4A7B3B"/>
    <w:rsid w:val="4C4F073F"/>
    <w:rsid w:val="4C586E50"/>
    <w:rsid w:val="4C8B4D21"/>
    <w:rsid w:val="4CEA1A71"/>
    <w:rsid w:val="4DC3281F"/>
    <w:rsid w:val="4DFC16FF"/>
    <w:rsid w:val="4E1F525A"/>
    <w:rsid w:val="4EF241A3"/>
    <w:rsid w:val="4F2D7873"/>
    <w:rsid w:val="4FEE5732"/>
    <w:rsid w:val="50066CA3"/>
    <w:rsid w:val="504533AC"/>
    <w:rsid w:val="50485D02"/>
    <w:rsid w:val="518B59E0"/>
    <w:rsid w:val="5244176A"/>
    <w:rsid w:val="52622C38"/>
    <w:rsid w:val="541532F3"/>
    <w:rsid w:val="544669FD"/>
    <w:rsid w:val="54F21968"/>
    <w:rsid w:val="550310E3"/>
    <w:rsid w:val="552E326A"/>
    <w:rsid w:val="55B66898"/>
    <w:rsid w:val="55BB16B6"/>
    <w:rsid w:val="56C57A34"/>
    <w:rsid w:val="572B3928"/>
    <w:rsid w:val="574F6249"/>
    <w:rsid w:val="576B5B9C"/>
    <w:rsid w:val="57AD74C8"/>
    <w:rsid w:val="58071A1F"/>
    <w:rsid w:val="599B1691"/>
    <w:rsid w:val="5A5B3CCD"/>
    <w:rsid w:val="5B87692E"/>
    <w:rsid w:val="5CEF3C87"/>
    <w:rsid w:val="5E736001"/>
    <w:rsid w:val="5E810B9A"/>
    <w:rsid w:val="5E8575A0"/>
    <w:rsid w:val="5ECC5796"/>
    <w:rsid w:val="5F3F2478"/>
    <w:rsid w:val="5F9C25EB"/>
    <w:rsid w:val="60081EA4"/>
    <w:rsid w:val="60195B98"/>
    <w:rsid w:val="606964BC"/>
    <w:rsid w:val="616E24E6"/>
    <w:rsid w:val="619A462F"/>
    <w:rsid w:val="62312A9D"/>
    <w:rsid w:val="63545F00"/>
    <w:rsid w:val="635C21B5"/>
    <w:rsid w:val="641963B7"/>
    <w:rsid w:val="64202DC6"/>
    <w:rsid w:val="64480A16"/>
    <w:rsid w:val="671B6946"/>
    <w:rsid w:val="67FA45E8"/>
    <w:rsid w:val="6841159B"/>
    <w:rsid w:val="687F107F"/>
    <w:rsid w:val="68822004"/>
    <w:rsid w:val="68FB09C9"/>
    <w:rsid w:val="696574CD"/>
    <w:rsid w:val="6A6F1DC6"/>
    <w:rsid w:val="6B405AFC"/>
    <w:rsid w:val="6BD8207B"/>
    <w:rsid w:val="6C8C2E23"/>
    <w:rsid w:val="6CA17546"/>
    <w:rsid w:val="6D1C6E8F"/>
    <w:rsid w:val="6D870634"/>
    <w:rsid w:val="6F7F20D5"/>
    <w:rsid w:val="6FB865A9"/>
    <w:rsid w:val="6FC43CA6"/>
    <w:rsid w:val="71D8190B"/>
    <w:rsid w:val="71DE05CD"/>
    <w:rsid w:val="72740C55"/>
    <w:rsid w:val="72F06D27"/>
    <w:rsid w:val="7328385A"/>
    <w:rsid w:val="735536BC"/>
    <w:rsid w:val="739065EB"/>
    <w:rsid w:val="73DF11F6"/>
    <w:rsid w:val="73F26EC8"/>
    <w:rsid w:val="74352E35"/>
    <w:rsid w:val="74410750"/>
    <w:rsid w:val="75082722"/>
    <w:rsid w:val="75E44CC4"/>
    <w:rsid w:val="75F21E91"/>
    <w:rsid w:val="761B77D2"/>
    <w:rsid w:val="76880984"/>
    <w:rsid w:val="76DE6D2F"/>
    <w:rsid w:val="77E2713E"/>
    <w:rsid w:val="78A07BDA"/>
    <w:rsid w:val="78B64B97"/>
    <w:rsid w:val="799004E1"/>
    <w:rsid w:val="7AB14371"/>
    <w:rsid w:val="7AB46BDC"/>
    <w:rsid w:val="7B5209E2"/>
    <w:rsid w:val="7BA577E9"/>
    <w:rsid w:val="7C0A3E8D"/>
    <w:rsid w:val="7C28453F"/>
    <w:rsid w:val="7C5A278F"/>
    <w:rsid w:val="7C6543A4"/>
    <w:rsid w:val="7CA56C98"/>
    <w:rsid w:val="7D1A2BCE"/>
    <w:rsid w:val="7D512D27"/>
    <w:rsid w:val="7D566EE8"/>
    <w:rsid w:val="7E345685"/>
    <w:rsid w:val="7E477DBC"/>
    <w:rsid w:val="7E6D09FF"/>
    <w:rsid w:val="7F460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paragraph" w:styleId="2">
    <w:name w:val="heading 4"/>
    <w:basedOn w:val="1"/>
    <w:next w:val="1"/>
    <w:autoRedefine/>
    <w:qFormat/>
    <w:uiPriority w:val="0"/>
    <w:pPr>
      <w:keepNext/>
      <w:keepLines/>
      <w:spacing w:before="280" w:after="290" w:line="372" w:lineRule="auto"/>
      <w:outlineLvl w:val="3"/>
    </w:pPr>
    <w:rPr>
      <w:rFonts w:ascii="Arial" w:hAnsi="Arial" w:eastAsia="黑体"/>
      <w:b/>
      <w:bCs/>
      <w:sz w:val="28"/>
      <w:szCs w:val="28"/>
    </w:rPr>
  </w:style>
  <w:style w:type="character" w:default="1" w:styleId="18">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widowControl w:val="0"/>
      <w:spacing w:line="360" w:lineRule="auto"/>
      <w:ind w:firstLine="420" w:firstLineChars="200"/>
      <w:jc w:val="both"/>
    </w:pPr>
    <w:rPr>
      <w:kern w:val="2"/>
      <w:sz w:val="21"/>
    </w:rPr>
  </w:style>
  <w:style w:type="paragraph" w:styleId="5">
    <w:name w:val="annotation text"/>
    <w:basedOn w:val="1"/>
    <w:autoRedefine/>
    <w:qFormat/>
    <w:uiPriority w:val="0"/>
    <w:pPr>
      <w:widowControl w:val="0"/>
    </w:pPr>
    <w:rPr>
      <w:kern w:val="2"/>
      <w:sz w:val="18"/>
      <w:szCs w:val="20"/>
    </w:rPr>
  </w:style>
  <w:style w:type="paragraph" w:styleId="6">
    <w:name w:val="Body Text"/>
    <w:basedOn w:val="1"/>
    <w:next w:val="1"/>
    <w:autoRedefine/>
    <w:qFormat/>
    <w:uiPriority w:val="0"/>
  </w:style>
  <w:style w:type="paragraph" w:styleId="7">
    <w:name w:val="Body Text Indent"/>
    <w:basedOn w:val="1"/>
    <w:autoRedefine/>
    <w:qFormat/>
    <w:uiPriority w:val="0"/>
    <w:pPr>
      <w:ind w:firstLine="630"/>
    </w:pPr>
    <w:rPr>
      <w:sz w:val="32"/>
      <w:szCs w:val="20"/>
    </w:rPr>
  </w:style>
  <w:style w:type="paragraph" w:styleId="8">
    <w:name w:val="Plain Text"/>
    <w:basedOn w:val="1"/>
    <w:autoRedefine/>
    <w:qFormat/>
    <w:uiPriority w:val="0"/>
    <w:pPr>
      <w:spacing w:line="460" w:lineRule="exact"/>
      <w:ind w:firstLine="567"/>
    </w:pPr>
    <w:rPr>
      <w:rFonts w:ascii="宋体" w:hAnsi="Courier New" w:eastAsia="仿宋_GB2312"/>
      <w:sz w:val="28"/>
      <w:szCs w:val="20"/>
    </w:rPr>
  </w:style>
  <w:style w:type="paragraph" w:styleId="9">
    <w:name w:val="footer"/>
    <w:basedOn w:val="1"/>
    <w:autoRedefine/>
    <w:qFormat/>
    <w:uiPriority w:val="0"/>
    <w:pPr>
      <w:tabs>
        <w:tab w:val="center" w:pos="4153"/>
        <w:tab w:val="right" w:pos="8306"/>
      </w:tabs>
      <w:snapToGrid w:val="0"/>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0"/>
    <w:pPr>
      <w:spacing w:line="180" w:lineRule="auto"/>
      <w:jc w:val="center"/>
    </w:pPr>
    <w:rPr>
      <w:sz w:val="30"/>
    </w:rPr>
  </w:style>
  <w:style w:type="paragraph" w:styleId="12">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13">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4">
    <w:name w:val="Body Text First Indent"/>
    <w:basedOn w:val="6"/>
    <w:autoRedefine/>
    <w:qFormat/>
    <w:uiPriority w:val="0"/>
    <w:pPr>
      <w:widowControl w:val="0"/>
      <w:ind w:firstLine="420" w:firstLineChars="100"/>
      <w:jc w:val="both"/>
    </w:pPr>
    <w:rPr>
      <w:rFonts w:ascii="宋体" w:hAnsi="宋体"/>
      <w:kern w:val="2"/>
      <w:sz w:val="21"/>
      <w:szCs w:val="20"/>
    </w:rPr>
  </w:style>
  <w:style w:type="paragraph" w:styleId="15">
    <w:name w:val="Body Text First Indent 2"/>
    <w:basedOn w:val="7"/>
    <w:autoRedefine/>
    <w:qFormat/>
    <w:uiPriority w:val="0"/>
    <w:pPr>
      <w:ind w:firstLine="420"/>
    </w:p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autoRedefine/>
    <w:qFormat/>
    <w:uiPriority w:val="99"/>
    <w:rPr>
      <w:sz w:val="21"/>
      <w:szCs w:val="21"/>
    </w:rPr>
  </w:style>
  <w:style w:type="paragraph" w:customStyle="1" w:styleId="2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GW-正文"/>
    <w:basedOn w:val="1"/>
    <w:autoRedefine/>
    <w:qFormat/>
    <w:uiPriority w:val="0"/>
    <w:pPr>
      <w:spacing w:line="360" w:lineRule="auto"/>
      <w:ind w:firstLine="200" w:firstLineChars="200"/>
    </w:pPr>
    <w:rPr>
      <w:rFonts w:eastAsia="仿宋_GB2312"/>
      <w:sz w:val="24"/>
      <w:szCs w:val="24"/>
    </w:rPr>
  </w:style>
  <w:style w:type="paragraph" w:customStyle="1" w:styleId="23">
    <w:name w:val="_Style 3"/>
    <w:basedOn w:val="1"/>
    <w:autoRedefine/>
    <w:qFormat/>
    <w:uiPriority w:val="0"/>
    <w:pPr>
      <w:ind w:firstLine="420" w:firstLineChars="200"/>
    </w:pPr>
    <w:rPr>
      <w:sz w:val="20"/>
    </w:rPr>
  </w:style>
  <w:style w:type="paragraph" w:customStyle="1" w:styleId="24">
    <w:name w:val="Table Paragraph"/>
    <w:basedOn w:val="1"/>
    <w:qFormat/>
    <w:uiPriority w:val="1"/>
    <w:pPr>
      <w:autoSpaceDE w:val="0"/>
      <w:autoSpaceDN w:val="0"/>
      <w:jc w:val="left"/>
    </w:pPr>
    <w:rPr>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2024-04-28T07:07:28Z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796B92C70F0F4764B01F0098AFD1D00F_12</vt:lpwstr>
  </property>
</Properties>
</file>