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饮水机租用服务采购项目</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SCFY-HQ202403-012（磋）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仿宋_GB2312" w:hAnsi="仿宋_GB2312" w:eastAsia="仿宋_GB2312" w:cs="仿宋_GB2312"/>
          <w:color w:val="auto"/>
          <w:sz w:val="28"/>
          <w:szCs w:val="28"/>
          <w:highlight w:val="no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w:t>
      </w:r>
      <w:r>
        <w:rPr>
          <w:rFonts w:hint="eastAsia" w:ascii="宋体" w:hAnsi="宋体" w:eastAsia="宋体" w:cs="宋体"/>
          <w:b w:val="0"/>
          <w:bCs w:val="0"/>
          <w:color w:val="000000"/>
          <w:sz w:val="24"/>
          <w:szCs w:val="24"/>
        </w:rPr>
        <w:t>饮水机租用服务采购项目</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”院内采购会议，会议由后勤保障部组织。届时，请投标人准时参加，务必提供公司资质文件（密封盖章）、采购投标文件（密封盖章）、报价一览表（密封盖章）等资料，具体事项如下：</w:t>
      </w:r>
    </w:p>
    <w:p>
      <w:pPr>
        <w:pStyle w:val="1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2024年5月11日（星期六）上午9:00</w:t>
      </w:r>
    </w:p>
    <w:p>
      <w:pPr>
        <w:pStyle w:val="1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2"/>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采购方式说明：</w:t>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cs="宋体"/>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p>
    <w:p>
      <w:pPr>
        <w:keepNext w:val="0"/>
        <w:keepLines w:val="0"/>
        <w:pageBreakBefore w:val="0"/>
        <w:numPr>
          <w:ilvl w:val="0"/>
          <w:numId w:val="1"/>
        </w:numPr>
        <w:kinsoku/>
        <w:wordWrap/>
        <w:overflowPunct/>
        <w:topLinePunct w:val="0"/>
        <w:autoSpaceDE/>
        <w:autoSpaceDN/>
        <w:bidi w:val="0"/>
        <w:adjustRightInd/>
        <w:snapToGrid/>
        <w:spacing w:beforeAutospacing="0" w:line="360" w:lineRule="auto"/>
        <w:ind w:left="0" w:leftChars="0"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2024年5月11日（星期六）上午9:00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2024年5月11日（星期六）上午9:00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2024年5月11日（星期六）上午9:00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pStyle w:val="2"/>
        <w:rPr>
          <w:rFonts w:hint="eastAsia" w:ascii="宋体" w:hAnsi="宋体" w:eastAsia="宋体" w:cs="宋体"/>
          <w:b/>
          <w:bCs/>
          <w:i w:val="0"/>
          <w:caps w:val="0"/>
          <w:color w:val="auto"/>
          <w:spacing w:val="0"/>
          <w:sz w:val="24"/>
          <w:szCs w:val="24"/>
          <w:shd w:val="clear" w:color="auto" w:fill="FFFFFF"/>
          <w:lang w:val="en-US" w:eastAsia="zh-CN"/>
        </w:rPr>
      </w:pPr>
    </w:p>
    <w:p>
      <w:pPr>
        <w:rPr>
          <w:rFonts w:hint="eastAsia" w:ascii="宋体" w:hAnsi="宋体" w:eastAsia="宋体" w:cs="宋体"/>
          <w:b/>
          <w:bCs/>
          <w:i w:val="0"/>
          <w:caps w:val="0"/>
          <w:color w:val="auto"/>
          <w:spacing w:val="0"/>
          <w:sz w:val="24"/>
          <w:szCs w:val="24"/>
          <w:shd w:val="clear" w:color="auto" w:fill="FFFFFF"/>
          <w:lang w:val="en-US" w:eastAsia="zh-CN"/>
        </w:rPr>
      </w:pPr>
    </w:p>
    <w:p>
      <w:pPr>
        <w:pStyle w:val="2"/>
        <w:rPr>
          <w:rFonts w:hint="eastAsia" w:ascii="宋体" w:hAnsi="宋体" w:eastAsia="宋体" w:cs="宋体"/>
          <w:b/>
          <w:bCs/>
          <w:i w:val="0"/>
          <w:caps w:val="0"/>
          <w:color w:val="auto"/>
          <w:spacing w:val="0"/>
          <w:sz w:val="24"/>
          <w:szCs w:val="24"/>
          <w:shd w:val="clear" w:color="auto" w:fill="FFFFFF"/>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Style w:val="12"/>
        <w:keepNext w:val="0"/>
        <w:keepLines w:val="0"/>
        <w:widowControl/>
        <w:suppressLineNumbers w:val="0"/>
        <w:ind w:left="0" w:firstLine="0"/>
        <w:jc w:val="both"/>
        <w:outlineLvl w:val="0"/>
        <w:rPr>
          <w:rFonts w:hint="eastAsia" w:ascii="宋体" w:hAnsi="宋体" w:eastAsia="宋体" w:cs="宋体"/>
          <w:sz w:val="24"/>
          <w:szCs w:val="24"/>
          <w:lang w:val="en-US" w:eastAsia="zh-CN" w:bidi="ar-SA"/>
        </w:rPr>
      </w:pPr>
      <w:bookmarkStart w:id="0" w:name="_Toc32284"/>
      <w:bookmarkStart w:id="1" w:name="_Toc5804"/>
      <w:bookmarkStart w:id="2" w:name="_Toc9881"/>
      <w:bookmarkStart w:id="3" w:name="_Toc386"/>
      <w:bookmarkStart w:id="4" w:name="_Toc1620"/>
      <w:bookmarkStart w:id="5" w:name="_Toc8677"/>
      <w:r>
        <w:rPr>
          <w:rFonts w:hint="eastAsia" w:ascii="宋体" w:hAnsi="宋体" w:eastAsia="宋体" w:cs="宋体"/>
          <w:sz w:val="24"/>
          <w:szCs w:val="24"/>
          <w:lang w:val="en-US" w:eastAsia="zh-CN" w:bidi="ar-SA"/>
        </w:rPr>
        <w:t>附件1：采购需求</w:t>
      </w:r>
    </w:p>
    <w:bookmarkEnd w:id="0"/>
    <w:bookmarkEnd w:id="1"/>
    <w:bookmarkEnd w:id="2"/>
    <w:bookmarkEnd w:id="3"/>
    <w:bookmarkEnd w:id="4"/>
    <w:bookmarkEnd w:id="5"/>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一、</w:t>
      </w:r>
      <w:r>
        <w:rPr>
          <w:rFonts w:hint="eastAsia" w:ascii="宋体" w:hAnsi="宋体" w:eastAsia="宋体" w:cs="宋体"/>
          <w:b/>
          <w:bCs/>
          <w:i w:val="0"/>
          <w:caps w:val="0"/>
          <w:color w:val="000000"/>
          <w:spacing w:val="0"/>
          <w:sz w:val="24"/>
          <w:szCs w:val="24"/>
          <w:lang w:val="en-US" w:eastAsia="zh-CN"/>
        </w:rPr>
        <w:t>项目</w:t>
      </w:r>
      <w:r>
        <w:rPr>
          <w:rFonts w:hint="eastAsia" w:ascii="宋体" w:hAnsi="宋体" w:eastAsia="宋体" w:cs="宋体"/>
          <w:b/>
          <w:bCs/>
          <w:i w:val="0"/>
          <w:caps w:val="0"/>
          <w:color w:val="000000"/>
          <w:spacing w:val="0"/>
          <w:sz w:val="24"/>
          <w:szCs w:val="24"/>
        </w:rPr>
        <w:t>概况</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.项目</w:t>
      </w:r>
      <w:r>
        <w:rPr>
          <w:rFonts w:hint="eastAsia" w:ascii="宋体" w:hAnsi="宋体" w:eastAsia="宋体" w:cs="宋体"/>
          <w:b w:val="0"/>
          <w:bCs w:val="0"/>
          <w:color w:val="000000"/>
          <w:sz w:val="24"/>
          <w:szCs w:val="24"/>
        </w:rPr>
        <w:t>名称：饮水机租用服务采购项目</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2.项目</w:t>
      </w:r>
      <w:r>
        <w:rPr>
          <w:rFonts w:hint="eastAsia" w:ascii="宋体" w:hAnsi="宋体" w:eastAsia="宋体" w:cs="宋体"/>
          <w:b w:val="0"/>
          <w:bCs w:val="0"/>
          <w:color w:val="000000"/>
          <w:sz w:val="24"/>
          <w:szCs w:val="24"/>
          <w:highlight w:val="none"/>
        </w:rPr>
        <w:t>位置：</w:t>
      </w:r>
      <w:r>
        <w:rPr>
          <w:rFonts w:hint="eastAsia" w:ascii="宋体" w:hAnsi="宋体" w:eastAsia="宋体" w:cs="宋体"/>
          <w:b w:val="0"/>
          <w:bCs w:val="0"/>
          <w:color w:val="000000"/>
          <w:sz w:val="24"/>
          <w:szCs w:val="24"/>
          <w:highlight w:val="none"/>
          <w:lang w:val="en-US" w:eastAsia="zh-CN"/>
        </w:rPr>
        <w:t>成都市武侯区沙堰西二街290号、成都市金牛区抚琴西路338号、成都市双流区岐黄二路1515号。</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3.主要服务内容</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提供天府院区</w:t>
      </w:r>
      <w:r>
        <w:rPr>
          <w:rFonts w:hint="eastAsia" w:ascii="宋体" w:hAnsi="宋体" w:cs="宋体"/>
          <w:b w:val="0"/>
          <w:bCs w:val="0"/>
          <w:color w:val="000000"/>
          <w:sz w:val="24"/>
          <w:szCs w:val="24"/>
          <w:highlight w:val="none"/>
          <w:lang w:val="en-US" w:eastAsia="zh-CN"/>
        </w:rPr>
        <w:t>、抚琴院区</w:t>
      </w:r>
      <w:r>
        <w:rPr>
          <w:rFonts w:hint="eastAsia" w:ascii="宋体" w:hAnsi="宋体" w:eastAsia="宋体" w:cs="宋体"/>
          <w:b w:val="0"/>
          <w:bCs w:val="0"/>
          <w:color w:val="000000"/>
          <w:sz w:val="24"/>
          <w:szCs w:val="24"/>
          <w:highlight w:val="none"/>
          <w:lang w:val="en-US" w:eastAsia="zh-CN"/>
        </w:rPr>
        <w:t>直饮机租赁服务和晋阳院区开水器维修、维保服务</w:t>
      </w:r>
      <w:r>
        <w:rPr>
          <w:rFonts w:hint="eastAsia" w:ascii="宋体" w:hAnsi="宋体" w:eastAsia="宋体" w:cs="宋体"/>
          <w:b w:val="0"/>
          <w:bCs w:val="0"/>
          <w:color w:val="000000"/>
          <w:sz w:val="24"/>
          <w:szCs w:val="24"/>
          <w:highlight w:val="none"/>
        </w:rPr>
        <w:t>。</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二、技术要求及其它</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1.租赁</w:t>
      </w:r>
      <w:r>
        <w:rPr>
          <w:rFonts w:hint="eastAsia" w:ascii="宋体" w:hAnsi="宋体" w:eastAsia="宋体" w:cs="宋体"/>
          <w:sz w:val="24"/>
          <w:szCs w:val="24"/>
        </w:rPr>
        <w:t>直饮机技术要求</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产品技术标准：符合GB 34914-2017 反渗透净水机水效限定值及水效等级，提供相关证明材料；产品卫生标准：符合GB 5749-2006 生活饮用水卫生标准，提供相关证明材料；产品出水水质：符合《生活饮用水水质处理器卫生安全与功能评价规范—反渗透处理装置》（2001）的要求，</w:t>
      </w:r>
      <w:r>
        <w:rPr>
          <w:rFonts w:hint="eastAsia" w:ascii="宋体" w:hAnsi="宋体" w:eastAsia="宋体" w:cs="宋体"/>
          <w:bCs/>
          <w:color w:val="000000"/>
          <w:sz w:val="24"/>
          <w:szCs w:val="24"/>
        </w:rPr>
        <w:t>提供产品型号对应的卫生许可批件</w:t>
      </w:r>
      <w:r>
        <w:rPr>
          <w:rFonts w:hint="eastAsia" w:ascii="宋体" w:hAnsi="宋体" w:eastAsia="宋体" w:cs="宋体"/>
          <w:bCs/>
          <w:sz w:val="24"/>
          <w:szCs w:val="24"/>
        </w:rPr>
        <w:t>及由卫生部门认定的疾病预防控制中心出具的检测报告。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直饮</w:t>
      </w:r>
      <w:r>
        <w:rPr>
          <w:rFonts w:hint="eastAsia" w:ascii="宋体" w:hAnsi="宋体" w:eastAsia="宋体" w:cs="宋体"/>
          <w:sz w:val="24"/>
          <w:szCs w:val="24"/>
          <w:lang w:val="en-US" w:eastAsia="zh-CN"/>
        </w:rPr>
        <w:t>机、开水器维修和维保要求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整体设备安装调试由供应商负责；</w:t>
      </w:r>
      <w:r>
        <w:rPr>
          <w:rFonts w:hint="eastAsia" w:ascii="宋体" w:hAnsi="宋体" w:eastAsia="宋体" w:cs="宋体"/>
          <w:sz w:val="24"/>
          <w:szCs w:val="24"/>
          <w:lang w:val="en-US" w:eastAsia="zh-CN"/>
        </w:rPr>
        <w:t>维保期内负责开水器或直饮机所以配件更换（即提供全包服务）</w:t>
      </w:r>
      <w:r>
        <w:rPr>
          <w:rFonts w:hint="eastAsia" w:ascii="宋体" w:hAnsi="宋体" w:eastAsia="宋体" w:cs="宋体"/>
          <w:sz w:val="24"/>
          <w:szCs w:val="24"/>
        </w:rPr>
        <w:t>；设备质保范围：巡检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清洗消毒</w:t>
      </w:r>
      <w:r>
        <w:rPr>
          <w:rFonts w:hint="eastAsia" w:ascii="宋体" w:hAnsi="宋体" w:eastAsia="宋体" w:cs="宋体"/>
          <w:sz w:val="24"/>
          <w:szCs w:val="24"/>
        </w:rPr>
        <w:t>、耗材更换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全包</w:t>
      </w:r>
      <w:r>
        <w:rPr>
          <w:rFonts w:hint="eastAsia" w:ascii="宋体" w:hAnsi="宋体" w:eastAsia="宋体" w:cs="宋体"/>
          <w:sz w:val="24"/>
          <w:szCs w:val="24"/>
          <w:lang w:eastAsia="zh-CN"/>
        </w:rPr>
        <w:t>）</w:t>
      </w:r>
      <w:r>
        <w:rPr>
          <w:rFonts w:hint="eastAsia" w:ascii="宋体" w:hAnsi="宋体" w:eastAsia="宋体" w:cs="宋体"/>
          <w:sz w:val="24"/>
          <w:szCs w:val="24"/>
        </w:rPr>
        <w:t>、设备维修。</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产品质量要求</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供应商应保证所有产品均是全新的、无瑕疵的且符合国家和行业相关标准的有品牌（或制造商）的合格产品。</w:t>
      </w: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产品相关强制性要求</w:t>
      </w:r>
    </w:p>
    <w:p>
      <w:pPr>
        <w:bidi w:val="0"/>
        <w:rPr>
          <w:rFonts w:hint="eastAsia" w:ascii="宋体" w:hAnsi="宋体" w:eastAsia="宋体" w:cs="宋体"/>
          <w:sz w:val="24"/>
          <w:szCs w:val="24"/>
        </w:rPr>
      </w:pPr>
      <w:r>
        <w:rPr>
          <w:rFonts w:hint="eastAsia" w:ascii="宋体" w:hAnsi="宋体" w:eastAsia="宋体" w:cs="宋体"/>
          <w:sz w:val="24"/>
          <w:szCs w:val="24"/>
        </w:rPr>
        <w:t>根据《强制性产品认证管理规定》，响应产品如涉及强制性3C认证的，供应商需提供强制认证证书复印件并加盖供应商公章（鲜章）。根据《生活饮用水卫生监督管理办法》，所有涉水产品都必须取得卫生行政部门颁发的涉及饮用水卫生安全产品许可批件。供应商需提供《涉及饮用水卫生安全产品许可批件》复印件并加盖供应商公章（鲜章）。</w:t>
      </w:r>
    </w:p>
    <w:p>
      <w:pPr>
        <w:bidi w:val="0"/>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项目最高限价：150000元。</w:t>
      </w: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rPr>
          <w:rFonts w:hint="eastAsia" w:ascii="宋体" w:hAnsi="宋体" w:cs="宋体"/>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参数要求：</w:t>
      </w:r>
    </w:p>
    <w:tbl>
      <w:tblPr>
        <w:tblStyle w:val="15"/>
        <w:tblW w:w="8970" w:type="dxa"/>
        <w:tblInd w:w="152" w:type="dxa"/>
        <w:tblLayout w:type="fixed"/>
        <w:tblCellMar>
          <w:top w:w="0" w:type="dxa"/>
          <w:left w:w="108" w:type="dxa"/>
          <w:bottom w:w="0" w:type="dxa"/>
          <w:right w:w="108" w:type="dxa"/>
        </w:tblCellMar>
      </w:tblPr>
      <w:tblGrid>
        <w:gridCol w:w="885"/>
        <w:gridCol w:w="930"/>
        <w:gridCol w:w="1290"/>
        <w:gridCol w:w="5865"/>
      </w:tblGrid>
      <w:tr>
        <w:tblPrEx>
          <w:tblCellMar>
            <w:top w:w="0" w:type="dxa"/>
            <w:left w:w="108" w:type="dxa"/>
            <w:bottom w:w="0" w:type="dxa"/>
            <w:right w:w="108" w:type="dxa"/>
          </w:tblCellMar>
        </w:tblPrEx>
        <w:trPr>
          <w:trHeight w:val="61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序</w:t>
            </w:r>
            <w:r>
              <w:rPr>
                <w:rFonts w:hint="eastAsia" w:ascii="宋体" w:hAnsi="宋体" w:eastAsia="宋体" w:cs="宋体"/>
                <w:sz w:val="24"/>
                <w:szCs w:val="24"/>
                <w:lang w:val="en-US" w:eastAsia="zh-CN"/>
              </w:rPr>
              <w:t>号</w:t>
            </w:r>
          </w:p>
        </w:tc>
        <w:tc>
          <w:tcPr>
            <w:tcW w:w="93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w:t>
            </w:r>
          </w:p>
        </w:tc>
        <w:tc>
          <w:tcPr>
            <w:tcW w:w="129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要求</w:t>
            </w:r>
          </w:p>
        </w:tc>
        <w:tc>
          <w:tcPr>
            <w:tcW w:w="5865"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r>
      <w:tr>
        <w:tblPrEx>
          <w:tblCellMar>
            <w:top w:w="0" w:type="dxa"/>
            <w:left w:w="108" w:type="dxa"/>
            <w:bottom w:w="0" w:type="dxa"/>
            <w:right w:w="108" w:type="dxa"/>
          </w:tblCellMar>
        </w:tblPrEx>
        <w:trPr>
          <w:trHeight w:val="4486" w:hRule="atLeast"/>
        </w:trPr>
        <w:tc>
          <w:tcPr>
            <w:tcW w:w="885" w:type="dxa"/>
            <w:vMerge w:val="restart"/>
            <w:tcBorders>
              <w:top w:val="single" w:color="auto" w:sz="4" w:space="0"/>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93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出水口直饮一体机（50-100人）</w:t>
            </w:r>
          </w:p>
        </w:tc>
        <w:tc>
          <w:tcPr>
            <w:tcW w:w="1290" w:type="dxa"/>
            <w:tcBorders>
              <w:top w:val="single" w:color="auto" w:sz="4" w:space="0"/>
              <w:left w:val="nil"/>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参数要求</w:t>
            </w:r>
          </w:p>
        </w:tc>
        <w:tc>
          <w:tcPr>
            <w:tcW w:w="5865" w:type="dxa"/>
            <w:tcBorders>
              <w:top w:val="single" w:color="auto" w:sz="4" w:space="0"/>
              <w:left w:val="nil"/>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外观尺寸：480*440*1440mm 正负5mm；</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水胆容量≥20L，电压220V，3kw，一开水一直饮水；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制水能力开水≧20L/h，直饮水≧62L/h，储水桶≧20升；</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★①整机整机不锈钢双面灰色金属烤漆工艺，坚固、美观大方（提供带CMA标识的板材的检测报告，且送检单位与所投产品厂家名称一致）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②内胆采用食品级304不锈钢，厚度1mm。聚胺脂发泡保温，高效节能。</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★③主要成份或者部件：PP+颗粒活性炭+PP棉+RO膜+炭棒+加热内胆+储水桶，过滤后出水水质符合《生活饮用水水质处理器卫生安全与功能评价规范-一反渗透处理装置》(2001)的要求。（提供整机的涉水卫生批件）；</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④触摸按键出水，开水带锁。</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⑤水槽采用304不锈钢制造，带防溅水网板设计，且带防溅网板为模压成型，铝合金包边工艺，无焊点、无焊疤、无毛刺、可拆洗，美观、时尚。</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⑥整机由底座四柱平行支撑稳固，支撑设备的四个支撑机脚带360度可固定的轮子。</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r>
      <w:tr>
        <w:tblPrEx>
          <w:tblCellMar>
            <w:top w:w="0" w:type="dxa"/>
            <w:left w:w="108" w:type="dxa"/>
            <w:bottom w:w="0" w:type="dxa"/>
            <w:right w:w="108" w:type="dxa"/>
          </w:tblCellMar>
        </w:tblPrEx>
        <w:trPr>
          <w:trHeight w:val="3936" w:hRule="atLeast"/>
        </w:trPr>
        <w:tc>
          <w:tcPr>
            <w:tcW w:w="88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93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出水口直饮一体机（30-50人））</w:t>
            </w:r>
          </w:p>
        </w:tc>
        <w:tc>
          <w:tcPr>
            <w:tcW w:w="1290" w:type="dxa"/>
            <w:tcBorders>
              <w:top w:val="single" w:color="auto" w:sz="4" w:space="0"/>
              <w:left w:val="nil"/>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参数要求</w:t>
            </w:r>
          </w:p>
        </w:tc>
        <w:tc>
          <w:tcPr>
            <w:tcW w:w="5865" w:type="dxa"/>
            <w:tcBorders>
              <w:top w:val="single" w:color="auto" w:sz="4" w:space="0"/>
              <w:left w:val="nil"/>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外观尺寸：380*350*1400MM 正负5mm；</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容量：</w:t>
            </w:r>
            <w:r>
              <w:rPr>
                <w:rFonts w:hint="eastAsia" w:ascii="宋体" w:hAnsi="宋体" w:eastAsia="宋体" w:cs="宋体"/>
                <w:sz w:val="24"/>
                <w:szCs w:val="24"/>
                <w:lang w:val="en-US" w:eastAsia="zh-CN"/>
              </w:rPr>
              <w:t xml:space="preserve">水胆容量10L, </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出水方式：</w:t>
            </w:r>
            <w:r>
              <w:rPr>
                <w:rFonts w:hint="eastAsia" w:ascii="宋体" w:hAnsi="宋体" w:eastAsia="宋体" w:cs="宋体"/>
                <w:sz w:val="24"/>
                <w:szCs w:val="24"/>
                <w:lang w:eastAsia="zh-CN"/>
              </w:rPr>
              <w:t>一开一直饮水，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适用水压：0.1-0.4MPa</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★①整机采用不锈钢纳米吸漆工艺无指纹处理，坚固、美观大方；</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②机器边角采用卡扣拼装结构，无焊点、无打磨抛光、无毛刺；</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主要成份或者部件：PP+颗粒活性炭+PP+RO膜+颗粒活性炭+不锈钢波纹管+加热内胆，过滤后出水水质符合《生活饮用水水质处理器卫生安全与功能评价规范-一反渗透处理装置》(2001)的要求。（提供整机的涉水卫生批件）；</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④触摸按键出水，开水带锁。</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⑤水槽采用塑料移动水槽，方便倒水。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★⑥杀菌方式：为确保饮水安全，采用紫外线杀菌水龙头，确保出来的每一滴水都安全、健康（提供国家知识产权局出具的专利文件，且专权人与所投产品厂家名称一致）；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⑦物联网功能，有远程操控说明。</w:t>
            </w:r>
          </w:p>
        </w:tc>
      </w:tr>
      <w:tr>
        <w:tblPrEx>
          <w:tblCellMar>
            <w:top w:w="0" w:type="dxa"/>
            <w:left w:w="108" w:type="dxa"/>
            <w:bottom w:w="0" w:type="dxa"/>
            <w:right w:w="108" w:type="dxa"/>
          </w:tblCellMar>
        </w:tblPrEx>
        <w:trPr>
          <w:trHeight w:val="1822" w:hRule="atLeast"/>
        </w:trPr>
        <w:tc>
          <w:tcPr>
            <w:tcW w:w="88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930" w:type="dxa"/>
            <w:vMerge w:val="restart"/>
            <w:tcBorders>
              <w:top w:val="single" w:color="auto" w:sz="4" w:space="0"/>
              <w:left w:val="nil"/>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c>
          <w:tcPr>
            <w:tcW w:w="129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安全技术要求</w:t>
            </w:r>
          </w:p>
        </w:tc>
        <w:tc>
          <w:tcPr>
            <w:tcW w:w="5865"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①采用智能水控系统，超温与防干烧保护，水不开，则无水流出。</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★②内胆采用无焊接工艺，经久耐用、防渗漏，安全可靠（提供国家权威机构出具的第三方证明文件，且单位与所投产品厂家名称一致）。</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eastAsia" w:ascii="宋体" w:hAnsi="宋体" w:eastAsia="宋体" w:cs="宋体"/>
                <w:sz w:val="24"/>
                <w:szCs w:val="24"/>
              </w:rPr>
              <w:t>进水电磁阀必须为DC12V低压</w:t>
            </w:r>
            <w:r>
              <w:rPr>
                <w:rFonts w:hint="eastAsia" w:ascii="宋体" w:hAnsi="宋体" w:eastAsia="宋体" w:cs="宋体"/>
                <w:sz w:val="24"/>
                <w:szCs w:val="24"/>
                <w:lang w:eastAsia="zh-CN"/>
              </w:rPr>
              <w:t>安全</w:t>
            </w:r>
            <w:r>
              <w:rPr>
                <w:rFonts w:hint="eastAsia" w:ascii="宋体" w:hAnsi="宋体" w:eastAsia="宋体" w:cs="宋体"/>
                <w:sz w:val="24"/>
                <w:szCs w:val="24"/>
              </w:rPr>
              <w:t>电磁阀，进水状态或待机状态下无噪音</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★④内胆采用食品级304不锈钢，确保饮水安全及健康（提供带CMA标识的水胆材质报告、水胆水质报告，且申请单位与所投产品厂家的名称一致）</w:t>
            </w:r>
          </w:p>
        </w:tc>
      </w:tr>
      <w:tr>
        <w:tblPrEx>
          <w:tblCellMar>
            <w:top w:w="0" w:type="dxa"/>
            <w:left w:w="108" w:type="dxa"/>
            <w:bottom w:w="0" w:type="dxa"/>
            <w:right w:w="108" w:type="dxa"/>
          </w:tblCellMar>
        </w:tblPrEx>
        <w:trPr>
          <w:trHeight w:val="90" w:hRule="atLeast"/>
        </w:trPr>
        <w:tc>
          <w:tcPr>
            <w:tcW w:w="885" w:type="dxa"/>
            <w:vMerge w:val="continue"/>
            <w:tcBorders>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930" w:type="dxa"/>
            <w:vMerge w:val="continue"/>
            <w:tcBorders>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290"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智能技术要求</w:t>
            </w:r>
          </w:p>
        </w:tc>
        <w:tc>
          <w:tcPr>
            <w:tcW w:w="5865" w:type="dxa"/>
            <w:tcBorders>
              <w:top w:val="single" w:color="auto" w:sz="4" w:space="0"/>
              <w:left w:val="nil"/>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①智能液晶显示屏，全自动运行，全年无需人值守。</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②液晶显示水温、时间、水位、加热、进水、定时开关机、饮用、日期等多项功能信息显示。</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F083"/>
            </w:r>
            <w:r>
              <w:rPr>
                <w:rFonts w:hint="eastAsia" w:ascii="宋体" w:hAnsi="宋体" w:eastAsia="宋体" w:cs="宋体"/>
                <w:sz w:val="24"/>
                <w:szCs w:val="24"/>
                <w:lang w:val="en-US" w:eastAsia="zh-CN"/>
              </w:rPr>
              <w:t>采用智能水控系统，防超温与防干烧保护。</w:t>
            </w:r>
          </w:p>
        </w:tc>
      </w:tr>
    </w:tbl>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用技术参数中打“★”号条款为重要技术参数条款，不作为无效投标条款</w:t>
      </w:r>
      <w:r>
        <w:rPr>
          <w:rFonts w:hint="eastAsia" w:ascii="宋体" w:hAnsi="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三.评分办法（综合评分办法）</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bl>
      <w:tblPr>
        <w:tblStyle w:val="15"/>
        <w:tblW w:w="898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65"/>
        <w:gridCol w:w="1485"/>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tcBorders>
              <w:right w:val="single" w:color="auto" w:sz="4" w:space="0"/>
            </w:tcBorders>
            <w:noWrap w:val="0"/>
            <w:vAlign w:val="top"/>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评价指标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评价指标分项</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分项分值</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5" w:type="dxa"/>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价格</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价格20分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有效的投标报价中的综合单价总和的最低价为评标基准价，其价格分为满分。其他投标人的价格分统一按照下列公式计算：投标报价得分=(基准价/比选报价)*20;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restart"/>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务</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tc>
        <w:tc>
          <w:tcPr>
            <w:tcW w:w="765" w:type="dxa"/>
            <w:vMerge w:val="restart"/>
            <w:tcBorders>
              <w:top w:val="single" w:color="auto" w:sz="4" w:space="0"/>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所投产品制造商实</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所投产品进入最新一期的节能政府采购清单（第二十四期）（提供网上查询地址及截图盖公章）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所</w:t>
            </w:r>
            <w:r>
              <w:rPr>
                <w:rFonts w:hint="eastAsia" w:ascii="宋体" w:hAnsi="宋体" w:eastAsia="宋体" w:cs="宋体"/>
                <w:sz w:val="24"/>
                <w:szCs w:val="24"/>
              </w:rPr>
              <w:t>投标产品制造商具有荣誉：全国质量检验稳定合格产品证书、全国质量信得过产品证书、</w:t>
            </w:r>
            <w:r>
              <w:rPr>
                <w:rFonts w:hint="eastAsia" w:ascii="宋体" w:hAnsi="宋体" w:eastAsia="宋体" w:cs="宋体"/>
                <w:sz w:val="24"/>
                <w:szCs w:val="24"/>
                <w:lang w:eastAsia="zh-CN"/>
              </w:rPr>
              <w:t>全国质量诚信标杆企业</w:t>
            </w:r>
            <w:r>
              <w:rPr>
                <w:rFonts w:hint="eastAsia" w:ascii="宋体" w:hAnsi="宋体" w:eastAsia="宋体" w:cs="宋体"/>
                <w:sz w:val="24"/>
                <w:szCs w:val="24"/>
              </w:rPr>
              <w:t>、</w:t>
            </w:r>
            <w:r>
              <w:rPr>
                <w:rFonts w:hint="eastAsia" w:ascii="宋体" w:hAnsi="宋体" w:eastAsia="宋体" w:cs="宋体"/>
                <w:sz w:val="24"/>
                <w:szCs w:val="24"/>
                <w:lang w:eastAsia="zh-CN"/>
              </w:rPr>
              <w:t>全国饮水设备行业质量领先企业</w:t>
            </w:r>
            <w:r>
              <w:rPr>
                <w:rFonts w:hint="eastAsia" w:ascii="宋体" w:hAnsi="宋体" w:eastAsia="宋体" w:cs="宋体"/>
                <w:sz w:val="24"/>
                <w:szCs w:val="24"/>
              </w:rPr>
              <w:t>、质量品牌示范企业</w:t>
            </w:r>
            <w:r>
              <w:rPr>
                <w:rFonts w:hint="eastAsia" w:ascii="宋体" w:hAnsi="宋体" w:eastAsia="宋体" w:cs="宋体"/>
                <w:sz w:val="24"/>
                <w:szCs w:val="24"/>
                <w:lang w:eastAsia="zh-CN"/>
              </w:rPr>
              <w:t>，</w:t>
            </w:r>
            <w:r>
              <w:rPr>
                <w:rFonts w:hint="eastAsia" w:ascii="宋体" w:hAnsi="宋体" w:eastAsia="宋体" w:cs="宋体"/>
                <w:sz w:val="24"/>
                <w:szCs w:val="24"/>
              </w:rPr>
              <w:t>缺一不得分</w:t>
            </w:r>
            <w:r>
              <w:rPr>
                <w:rFonts w:hint="eastAsia" w:ascii="宋体" w:hAnsi="宋体" w:eastAsia="宋体" w:cs="宋体"/>
                <w:sz w:val="24"/>
                <w:szCs w:val="24"/>
                <w:lang w:val="en-US" w:eastAsia="zh-CN"/>
              </w:rPr>
              <w:t>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①PP棉、颗粒炭、炭棒、RO膜、加热内胆、过滤壳具有带CMA标识的检测报告符合《生活饮用水输配水设备及防护材料卫生安全评价规范》；</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②储水桶具有带CMA标识的检测报告符合GB4806.11-2016、GB31604.8-2016、GB31604.2-2016、GB31604.9-2016标准；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③一体机</w:t>
            </w:r>
            <w:r>
              <w:rPr>
                <w:rFonts w:hint="eastAsia" w:ascii="宋体" w:hAnsi="宋体" w:eastAsia="宋体" w:cs="宋体"/>
                <w:sz w:val="24"/>
                <w:szCs w:val="24"/>
                <w:lang w:eastAsia="zh-CN"/>
              </w:rPr>
              <w:t>反渗透</w:t>
            </w:r>
            <w:r>
              <w:rPr>
                <w:rFonts w:hint="eastAsia" w:ascii="宋体" w:hAnsi="宋体" w:eastAsia="宋体" w:cs="宋体"/>
                <w:sz w:val="24"/>
                <w:szCs w:val="24"/>
                <w:lang w:val="en-US" w:eastAsia="zh-CN"/>
              </w:rPr>
              <w:t>符合GB 34914-2017《反渗透净水机水效限定值及水效等级》1级且净水产水率达80.0%，提供带CMA标识的检测报告。</w:t>
            </w:r>
          </w:p>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评审依据：①②③项报告的送检单位与所投产品厂家的名称一致，完全满足得10分，未提供证明文件或提供不全不得分。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所投产品的</w:t>
            </w:r>
            <w:r>
              <w:rPr>
                <w:rFonts w:hint="eastAsia" w:ascii="宋体" w:hAnsi="宋体" w:eastAsia="宋体" w:cs="宋体"/>
                <w:sz w:val="24"/>
                <w:szCs w:val="24"/>
                <w:lang w:val="en-US" w:eastAsia="zh-CN"/>
              </w:rPr>
              <w:t>颗粒炭、炭棒、RO膜、加热内胆、过滤壳具有涉水批件，且送检单位与所投产品整机名称一致，</w:t>
            </w:r>
            <w:r>
              <w:rPr>
                <w:rFonts w:hint="eastAsia" w:ascii="宋体" w:hAnsi="宋体" w:eastAsia="宋体" w:cs="宋体"/>
                <w:sz w:val="24"/>
                <w:szCs w:val="24"/>
              </w:rPr>
              <w:t>缺一不得分</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投标人具备</w:t>
            </w:r>
            <w:r>
              <w:rPr>
                <w:rFonts w:hint="eastAsia" w:ascii="宋体" w:hAnsi="宋体" w:eastAsia="宋体" w:cs="宋体"/>
                <w:sz w:val="24"/>
                <w:szCs w:val="24"/>
              </w:rPr>
              <w:t>质量管理体系认证、环境管理体系认证、职业健康安全管理体系认证得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所投产品制造商同时具有有效的质量管理体系认证、环境管理体系认证、职业健康安全管理体系认证得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净水设备或</w:t>
            </w:r>
            <w:r>
              <w:rPr>
                <w:rFonts w:hint="eastAsia" w:ascii="宋体" w:hAnsi="宋体" w:eastAsia="宋体" w:cs="宋体"/>
                <w:sz w:val="24"/>
                <w:szCs w:val="24"/>
              </w:rPr>
              <w:t>商用电开水器的生产和销售服务</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所投产品的</w:t>
            </w:r>
            <w:r>
              <w:rPr>
                <w:rFonts w:hint="eastAsia" w:ascii="宋体" w:hAnsi="宋体" w:eastAsia="宋体" w:cs="宋体"/>
                <w:sz w:val="24"/>
                <w:szCs w:val="24"/>
                <w:lang w:val="en-US" w:eastAsia="zh-CN"/>
              </w:rPr>
              <w:t>紫外线杀菌龙头具有批件+检测报告</w:t>
            </w:r>
            <w:r>
              <w:rPr>
                <w:rFonts w:hint="eastAsia" w:ascii="宋体" w:hAnsi="宋体" w:eastAsia="宋体" w:cs="宋体"/>
                <w:sz w:val="24"/>
                <w:szCs w:val="24"/>
              </w:rPr>
              <w:t>，</w:t>
            </w:r>
            <w:r>
              <w:rPr>
                <w:rFonts w:hint="eastAsia" w:ascii="宋体" w:hAnsi="宋体" w:eastAsia="宋体" w:cs="宋体"/>
                <w:sz w:val="24"/>
                <w:szCs w:val="24"/>
                <w:lang w:val="en-US" w:eastAsia="zh-CN"/>
              </w:rPr>
              <w:t>（提供国家知识产权局出具的专利文件，且专权人与所投产品厂家名称一致）</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缺一不得分</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投产品水咀具有带CMA标识的检测报告，采用不锈钢材料，符合GB4806.9-2016食品安全国家标准，检测内容包含感官、浸泡液、铅、镉、铬、镍、砷等在4%乙酸煮沸30min，再室温放置24h后接触食品的表面清洁、无开裂、剥落，焊接部份光洁，无气孔、裂缝、毛刺）。</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评标依据：提供与所投产品厂家名称一致的检测报告，送检日期不得早于2020年且不得晚点本项目公示之日。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所投产品水胆具有食品安全产品证书及符合BG 4806.9-2016食品安全国家标准 食品接触用金属材料及制品带CMA标识的检测报告，内容包含铅（Pb）≤0.010</w:t>
            </w:r>
            <w:r>
              <w:rPr>
                <w:rFonts w:hint="eastAsia" w:ascii="宋体" w:hAnsi="宋体" w:eastAsia="宋体" w:cs="宋体"/>
                <w:sz w:val="24"/>
                <w:szCs w:val="24"/>
              </w:rPr>
              <w:t>mg/kg</w:t>
            </w:r>
            <w:r>
              <w:rPr>
                <w:rFonts w:hint="eastAsia" w:ascii="宋体" w:hAnsi="宋体" w:eastAsia="宋体" w:cs="宋体"/>
                <w:sz w:val="24"/>
                <w:szCs w:val="24"/>
                <w:lang w:val="en-US" w:eastAsia="zh-CN"/>
              </w:rPr>
              <w:t>、镉（Cd）</w:t>
            </w:r>
            <w:r>
              <w:rPr>
                <w:rFonts w:hint="eastAsia" w:ascii="宋体" w:hAnsi="宋体" w:eastAsia="宋体" w:cs="宋体"/>
                <w:sz w:val="24"/>
                <w:szCs w:val="24"/>
              </w:rPr>
              <w:t>&lt;</w:t>
            </w:r>
            <w:r>
              <w:rPr>
                <w:rFonts w:hint="eastAsia" w:ascii="宋体" w:hAnsi="宋体" w:eastAsia="宋体" w:cs="宋体"/>
                <w:sz w:val="24"/>
                <w:szCs w:val="24"/>
                <w:lang w:val="en-US" w:eastAsia="zh-CN"/>
              </w:rPr>
              <w:t>0.005</w:t>
            </w:r>
            <w:r>
              <w:rPr>
                <w:rFonts w:hint="eastAsia" w:ascii="宋体" w:hAnsi="宋体" w:eastAsia="宋体" w:cs="宋体"/>
                <w:sz w:val="24"/>
                <w:szCs w:val="24"/>
              </w:rPr>
              <w:t>mg/kg</w:t>
            </w:r>
            <w:r>
              <w:rPr>
                <w:rFonts w:hint="eastAsia" w:ascii="宋体" w:hAnsi="宋体" w:eastAsia="宋体" w:cs="宋体"/>
                <w:sz w:val="24"/>
                <w:szCs w:val="24"/>
                <w:lang w:val="en-US" w:eastAsia="zh-CN"/>
              </w:rPr>
              <w:t>、砷（As）</w:t>
            </w:r>
            <w:r>
              <w:rPr>
                <w:rFonts w:hint="eastAsia" w:ascii="宋体" w:hAnsi="宋体" w:eastAsia="宋体" w:cs="宋体"/>
                <w:sz w:val="24"/>
                <w:szCs w:val="24"/>
              </w:rPr>
              <w:t>&lt;</w:t>
            </w:r>
            <w:r>
              <w:rPr>
                <w:rFonts w:hint="eastAsia" w:ascii="宋体" w:hAnsi="宋体" w:eastAsia="宋体" w:cs="宋体"/>
                <w:sz w:val="24"/>
                <w:szCs w:val="24"/>
                <w:lang w:val="en-US" w:eastAsia="zh-CN"/>
              </w:rPr>
              <w:t>0.01</w:t>
            </w:r>
            <w:r>
              <w:rPr>
                <w:rFonts w:hint="eastAsia" w:ascii="宋体" w:hAnsi="宋体" w:eastAsia="宋体" w:cs="宋体"/>
                <w:sz w:val="24"/>
                <w:szCs w:val="24"/>
              </w:rPr>
              <w:t>mg/kg</w:t>
            </w:r>
            <w:r>
              <w:rPr>
                <w:rFonts w:hint="eastAsia" w:ascii="宋体" w:hAnsi="宋体" w:eastAsia="宋体" w:cs="宋体"/>
                <w:sz w:val="24"/>
                <w:szCs w:val="24"/>
                <w:lang w:val="en-US" w:eastAsia="zh-CN"/>
              </w:rPr>
              <w:t>、铬（Cr）≤0.077</w:t>
            </w:r>
            <w:r>
              <w:rPr>
                <w:rFonts w:hint="eastAsia" w:ascii="宋体" w:hAnsi="宋体" w:eastAsia="宋体" w:cs="宋体"/>
                <w:sz w:val="24"/>
                <w:szCs w:val="24"/>
              </w:rPr>
              <w:t>mg/kg</w:t>
            </w:r>
            <w:r>
              <w:rPr>
                <w:rFonts w:hint="eastAsia" w:ascii="宋体" w:hAnsi="宋体" w:eastAsia="宋体" w:cs="宋体"/>
                <w:sz w:val="24"/>
                <w:szCs w:val="24"/>
                <w:lang w:val="en-US" w:eastAsia="zh-CN"/>
              </w:rPr>
              <w:t>、镍（Ni）≤0.043</w:t>
            </w:r>
            <w:r>
              <w:rPr>
                <w:rFonts w:hint="eastAsia" w:ascii="宋体" w:hAnsi="宋体" w:eastAsia="宋体" w:cs="宋体"/>
                <w:sz w:val="24"/>
                <w:szCs w:val="24"/>
              </w:rPr>
              <w:t>mg/kg</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投标人或所投产品厂家为确保对使用安全有保障，对</w:t>
            </w:r>
            <w:r>
              <w:rPr>
                <w:rFonts w:hint="eastAsia" w:ascii="宋体" w:hAnsi="宋体" w:eastAsia="宋体" w:cs="宋体"/>
                <w:sz w:val="24"/>
                <w:szCs w:val="24"/>
              </w:rPr>
              <w:t>所</w:t>
            </w:r>
            <w:r>
              <w:rPr>
                <w:rFonts w:hint="eastAsia" w:ascii="宋体" w:hAnsi="宋体" w:eastAsia="宋体" w:cs="宋体"/>
                <w:sz w:val="24"/>
                <w:szCs w:val="24"/>
                <w:lang w:eastAsia="zh-CN"/>
              </w:rPr>
              <w:t>饮水设备具有有效期内</w:t>
            </w:r>
            <w:r>
              <w:rPr>
                <w:rFonts w:hint="eastAsia" w:ascii="宋体" w:hAnsi="宋体" w:eastAsia="宋体" w:cs="宋体"/>
                <w:sz w:val="24"/>
                <w:szCs w:val="24"/>
              </w:rPr>
              <w:t>的产品责任险金额进行评分：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①3000万&gt;产品责任险保额≧1000万，且1400万≧销售额≧1000万。得1分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②6000万&gt;产品责任险保额≧3000万，且2000万≧销售额≧1500万。得2分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③产品责任险保额≧6000万，且销售额≧3000万。得3分</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评审依据：</w:t>
            </w:r>
            <w:r>
              <w:rPr>
                <w:rFonts w:hint="eastAsia" w:ascii="宋体" w:hAnsi="宋体" w:eastAsia="宋体" w:cs="宋体"/>
                <w:sz w:val="24"/>
                <w:szCs w:val="24"/>
                <w:lang w:eastAsia="zh-CN"/>
              </w:rPr>
              <w:t>提供有效期内与所投产品厂家名称一致的</w:t>
            </w:r>
            <w:r>
              <w:rPr>
                <w:rFonts w:hint="eastAsia" w:ascii="宋体" w:hAnsi="宋体" w:eastAsia="宋体" w:cs="宋体"/>
                <w:sz w:val="24"/>
                <w:szCs w:val="24"/>
              </w:rPr>
              <w:t>产品责任保险单</w:t>
            </w:r>
            <w:r>
              <w:rPr>
                <w:rFonts w:hint="eastAsia" w:ascii="宋体" w:hAnsi="宋体" w:eastAsia="宋体" w:cs="宋体"/>
                <w:sz w:val="24"/>
                <w:szCs w:val="24"/>
                <w:lang w:eastAsia="zh-CN"/>
              </w:rPr>
              <w:t>（投标产品型号在保单中）</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7" w:hRule="exac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765" w:type="dxa"/>
            <w:vMerge w:val="continue"/>
            <w:tcBorders>
              <w:left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投标人或所投产品的生产制造商具有中国计量认证（CMA标识)的发热管</w:t>
            </w:r>
            <w:r>
              <w:rPr>
                <w:rFonts w:hint="eastAsia" w:ascii="宋体" w:hAnsi="宋体" w:eastAsia="宋体" w:cs="宋体"/>
                <w:sz w:val="24"/>
                <w:szCs w:val="24"/>
                <w:lang w:eastAsia="zh-CN"/>
              </w:rPr>
              <w:t>、水龙头、波纹管</w:t>
            </w:r>
            <w:r>
              <w:rPr>
                <w:rFonts w:hint="eastAsia" w:ascii="宋体" w:hAnsi="宋体" w:eastAsia="宋体" w:cs="宋体"/>
                <w:sz w:val="24"/>
                <w:szCs w:val="24"/>
              </w:rPr>
              <w:t>报告，检测内容色、浑浊度、臭和味、肉眼可见物、pH、溶解性总固体、耗氧量、砷、镉、铬</w:t>
            </w:r>
            <w:r>
              <w:rPr>
                <w:rFonts w:hint="eastAsia" w:ascii="宋体" w:hAnsi="宋体" w:eastAsia="宋体" w:cs="宋体"/>
                <w:sz w:val="24"/>
                <w:szCs w:val="24"/>
                <w:lang w:eastAsia="zh-CN"/>
              </w:rPr>
              <w:t>、</w:t>
            </w:r>
            <w:r>
              <w:rPr>
                <w:rFonts w:hint="eastAsia" w:ascii="宋体" w:hAnsi="宋体" w:eastAsia="宋体" w:cs="宋体"/>
                <w:sz w:val="24"/>
                <w:szCs w:val="24"/>
              </w:rPr>
              <w:t>铝、铅、汞、三氯甲烷、挥发酚类、铁、锰、铜、锌、镍20项指标均符合《生活饮用水输配水设备及防护材料卫生安全评价规范》（2001）对输配水设备的要求</w:t>
            </w:r>
            <w:r>
              <w:rPr>
                <w:rFonts w:hint="eastAsia" w:ascii="宋体" w:hAnsi="宋体" w:eastAsia="宋体" w:cs="宋体"/>
                <w:sz w:val="24"/>
                <w:szCs w:val="24"/>
                <w:lang w:eastAsia="zh-CN"/>
              </w:rPr>
              <w:t>，完全满足得</w:t>
            </w:r>
            <w:r>
              <w:rPr>
                <w:rFonts w:hint="eastAsia" w:ascii="宋体" w:hAnsi="宋体" w:eastAsia="宋体" w:cs="宋体"/>
                <w:sz w:val="24"/>
                <w:szCs w:val="24"/>
                <w:lang w:val="en-US" w:eastAsia="zh-CN"/>
              </w:rPr>
              <w:t>3分，少一项不得分，且送检单位与所投产品厂家名称一致。</w:t>
            </w:r>
            <w:r>
              <w:rPr>
                <w:rFonts w:hint="eastAsia" w:ascii="宋体" w:hAnsi="宋体" w:eastAsia="宋体" w:cs="宋体"/>
                <w:sz w:val="24"/>
                <w:szCs w:val="24"/>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85" w:type="dxa"/>
            <w:vMerge w:val="restart"/>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售后服务方案</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投标产品</w:t>
            </w:r>
            <w:r>
              <w:rPr>
                <w:rFonts w:hint="eastAsia" w:ascii="宋体" w:hAnsi="宋体" w:eastAsia="宋体" w:cs="宋体"/>
                <w:sz w:val="24"/>
                <w:szCs w:val="24"/>
              </w:rPr>
              <w:t>所承诺的售后服务方案合理性、完整性</w:t>
            </w:r>
            <w:r>
              <w:rPr>
                <w:rFonts w:hint="eastAsia" w:ascii="宋体" w:hAnsi="宋体" w:eastAsia="宋体" w:cs="宋体"/>
                <w:sz w:val="24"/>
                <w:szCs w:val="24"/>
                <w:lang w:eastAsia="zh-CN"/>
              </w:rPr>
              <w:t>、售后服务资格、</w:t>
            </w:r>
            <w:r>
              <w:rPr>
                <w:rFonts w:hint="eastAsia" w:ascii="宋体" w:hAnsi="宋体" w:eastAsia="宋体" w:cs="宋体"/>
                <w:sz w:val="24"/>
                <w:szCs w:val="24"/>
              </w:rPr>
              <w:t>维护人员和机构等情况，是否具备售后服务热线，服务承诺的可行性、完整性以及服务承诺落实的保障措施，质保期内外的后续技术支持和维护能力情况进行评价：</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10-1</w:t>
            </w:r>
            <w:r>
              <w:rPr>
                <w:rFonts w:hint="eastAsia" w:ascii="宋体" w:hAnsi="宋体" w:cs="宋体"/>
                <w:sz w:val="24"/>
                <w:szCs w:val="24"/>
                <w:lang w:val="en-US" w:eastAsia="zh-CN"/>
              </w:rPr>
              <w:t>6</w:t>
            </w:r>
            <w:r>
              <w:rPr>
                <w:rFonts w:hint="eastAsia" w:ascii="宋体" w:hAnsi="宋体" w:eastAsia="宋体" w:cs="宋体"/>
                <w:sz w:val="24"/>
                <w:szCs w:val="24"/>
              </w:rPr>
              <w:t>分）优：售后服务计划完善、组织合理、响应及时</w:t>
            </w:r>
            <w:r>
              <w:rPr>
                <w:rFonts w:hint="eastAsia" w:ascii="宋体" w:hAnsi="宋体" w:eastAsia="宋体" w:cs="宋体"/>
                <w:sz w:val="24"/>
                <w:szCs w:val="24"/>
                <w:lang w:eastAsia="zh-CN"/>
              </w:rPr>
              <w:t>、投标人或所产品生产厂家拟投入本项目的</w:t>
            </w:r>
            <w:r>
              <w:rPr>
                <w:rFonts w:hint="eastAsia" w:ascii="宋体" w:hAnsi="宋体" w:eastAsia="宋体" w:cs="宋体"/>
                <w:sz w:val="24"/>
                <w:szCs w:val="24"/>
              </w:rPr>
              <w:t>安装售后服务人员</w:t>
            </w:r>
            <w:r>
              <w:rPr>
                <w:rFonts w:hint="eastAsia" w:ascii="宋体" w:hAnsi="宋体" w:eastAsia="宋体" w:cs="宋体"/>
                <w:sz w:val="24"/>
                <w:szCs w:val="24"/>
                <w:lang w:val="en-US" w:eastAsia="zh-CN"/>
              </w:rPr>
              <w:t>具有人力资源和社会保障部门颁发的饮用水净化技能（安装）岗位证书者的，技术人员的相关证书</w:t>
            </w:r>
            <w:r>
              <w:rPr>
                <w:rFonts w:hint="eastAsia" w:ascii="宋体" w:hAnsi="宋体" w:eastAsia="宋体" w:cs="宋体"/>
                <w:sz w:val="24"/>
                <w:szCs w:val="24"/>
                <w:lang w:eastAsia="zh-CN"/>
              </w:rPr>
              <w:t>，同时</w:t>
            </w:r>
            <w:r>
              <w:rPr>
                <w:rFonts w:hint="eastAsia" w:ascii="宋体" w:hAnsi="宋体" w:eastAsia="宋体" w:cs="宋体"/>
                <w:sz w:val="24"/>
                <w:szCs w:val="24"/>
                <w:lang w:val="en-US" w:eastAsia="zh-CN"/>
              </w:rPr>
              <w:t>具有GB/T27922-2011五星级服务标准（提供得2分）、SB/T10962-2013十星级服务标准（提供得2分），售后服务管理师5人以上；</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5-9</w:t>
            </w:r>
            <w:r>
              <w:rPr>
                <w:rFonts w:hint="eastAsia" w:ascii="宋体" w:hAnsi="宋体" w:eastAsia="宋体" w:cs="宋体"/>
                <w:sz w:val="24"/>
                <w:szCs w:val="24"/>
              </w:rPr>
              <w:t>分）良：售后服务计划、组织基本合理，响应及时</w:t>
            </w:r>
            <w:r>
              <w:rPr>
                <w:rFonts w:hint="eastAsia" w:ascii="宋体" w:hAnsi="宋体" w:eastAsia="宋体" w:cs="宋体"/>
                <w:sz w:val="24"/>
                <w:szCs w:val="24"/>
                <w:lang w:eastAsia="zh-CN"/>
              </w:rPr>
              <w:t>、投标人拟投入本项目的</w:t>
            </w:r>
            <w:r>
              <w:rPr>
                <w:rFonts w:hint="eastAsia" w:ascii="宋体" w:hAnsi="宋体" w:eastAsia="宋体" w:cs="宋体"/>
                <w:sz w:val="24"/>
                <w:szCs w:val="24"/>
              </w:rPr>
              <w:t>安装售后服务人员</w:t>
            </w:r>
            <w:r>
              <w:rPr>
                <w:rFonts w:hint="eastAsia" w:ascii="宋体" w:hAnsi="宋体" w:eastAsia="宋体" w:cs="宋体"/>
                <w:sz w:val="24"/>
                <w:szCs w:val="24"/>
                <w:lang w:val="en-US" w:eastAsia="zh-CN"/>
              </w:rPr>
              <w:t>具有人力资源和社会保障部门颁发的饮用水净化技能（安装）岗位证书者的，至少提供7名及以上技术人员的相关证书（提供证明文件复印件</w:t>
            </w:r>
            <w:r>
              <w:rPr>
                <w:rFonts w:hint="eastAsia" w:ascii="宋体" w:hAnsi="宋体" w:eastAsia="宋体" w:cs="宋体"/>
                <w:sz w:val="24"/>
                <w:szCs w:val="24"/>
                <w:lang w:eastAsia="zh-CN"/>
              </w:rPr>
              <w:t>以及投标人为其缴纳的社保证明），同时</w:t>
            </w:r>
            <w:r>
              <w:rPr>
                <w:rFonts w:hint="eastAsia" w:ascii="宋体" w:hAnsi="宋体" w:eastAsia="宋体" w:cs="宋体"/>
                <w:sz w:val="24"/>
                <w:szCs w:val="24"/>
                <w:lang w:val="en-US" w:eastAsia="zh-CN"/>
              </w:rPr>
              <w:t>具有GB/T27922-2011五星级服务标准（提供得2分），售后服务管理师2人及以上；</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rPr>
              <w:t>分）差：售后服务计划完善、组织合理</w:t>
            </w:r>
            <w:r>
              <w:rPr>
                <w:rFonts w:hint="eastAsia" w:ascii="宋体" w:hAnsi="宋体" w:eastAsia="宋体" w:cs="宋体"/>
                <w:sz w:val="24"/>
                <w:szCs w:val="24"/>
                <w:lang w:eastAsia="zh-CN"/>
              </w:rPr>
              <w:t>、</w:t>
            </w:r>
            <w:r>
              <w:rPr>
                <w:rFonts w:hint="eastAsia" w:ascii="宋体" w:hAnsi="宋体" w:eastAsia="宋体" w:cs="宋体"/>
                <w:sz w:val="24"/>
                <w:szCs w:val="24"/>
              </w:rPr>
              <w:t>响应</w:t>
            </w:r>
            <w:r>
              <w:rPr>
                <w:rFonts w:hint="eastAsia" w:ascii="宋体" w:hAnsi="宋体" w:eastAsia="宋体" w:cs="宋体"/>
                <w:sz w:val="24"/>
                <w:szCs w:val="24"/>
                <w:lang w:eastAsia="zh-CN"/>
              </w:rPr>
              <w:t>及时、</w:t>
            </w:r>
            <w:r>
              <w:rPr>
                <w:rFonts w:hint="eastAsia" w:ascii="宋体" w:hAnsi="宋体" w:eastAsia="宋体" w:cs="宋体"/>
                <w:sz w:val="24"/>
                <w:szCs w:val="24"/>
                <w:lang w:val="en-US" w:eastAsia="zh-CN"/>
              </w:rPr>
              <w:t>无</w:t>
            </w:r>
            <w:r>
              <w:rPr>
                <w:rFonts w:hint="eastAsia" w:ascii="宋体" w:hAnsi="宋体" w:eastAsia="宋体" w:cs="宋体"/>
                <w:sz w:val="24"/>
                <w:szCs w:val="24"/>
                <w:lang w:eastAsia="zh-CN"/>
              </w:rPr>
              <w:t>售后服务管理师、无</w:t>
            </w:r>
            <w:r>
              <w:rPr>
                <w:rFonts w:hint="eastAsia" w:ascii="宋体" w:hAnsi="宋体" w:eastAsia="宋体" w:cs="宋体"/>
                <w:sz w:val="24"/>
                <w:szCs w:val="24"/>
                <w:lang w:val="en-US" w:eastAsia="zh-CN"/>
              </w:rPr>
              <w:t>人力资源和社会保障部教育培训中心颁发的净水设备或饮用水净化技能（安装和售后）证书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885" w:type="dxa"/>
            <w:vMerge w:val="continue"/>
            <w:tcBorders>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产品综合质量、性能</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21</w:t>
            </w:r>
          </w:p>
        </w:tc>
        <w:tc>
          <w:tcPr>
            <w:tcW w:w="5850"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直饮水机</w:t>
            </w:r>
            <w:r>
              <w:rPr>
                <w:rFonts w:hint="eastAsia" w:ascii="宋体" w:hAnsi="宋体" w:eastAsia="宋体" w:cs="宋体"/>
                <w:sz w:val="24"/>
                <w:szCs w:val="24"/>
                <w:highlight w:val="none"/>
              </w:rPr>
              <w:t>的质量性能等进行评分。</w:t>
            </w:r>
            <w:r>
              <w:rPr>
                <w:rFonts w:hint="eastAsia" w:ascii="宋体" w:hAnsi="宋体" w:eastAsia="宋体" w:cs="宋体"/>
                <w:sz w:val="24"/>
                <w:szCs w:val="24"/>
                <w:highlight w:val="none"/>
                <w:lang w:val="en-US" w:eastAsia="zh-CN"/>
              </w:rPr>
              <w:t>“★”号每负偏离一项扣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bookmarkStart w:id="6" w:name="_GoBack"/>
            <w:bookmarkEnd w:id="6"/>
          </w:p>
        </w:tc>
      </w:tr>
    </w:tbl>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lang w:val="en-US" w:eastAsia="zh-CN"/>
        </w:rPr>
      </w:pP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违约责任</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采购人及供应商双方必须遵守采购合同并执行合同中的各项规定，保证采购合同的正常履行。任何一方违约给对方造成的直接损失均负有赔偿责任，对方均有权视情况要求对方继续履行合同或提出解除合同。</w:t>
      </w:r>
    </w:p>
    <w:p>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rPr>
          <w:rFonts w:hint="eastAsia"/>
          <w:lang w:val="en-US" w:eastAsia="zh-CN"/>
        </w:rPr>
      </w:pPr>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7"/>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p>
      <w:pPr>
        <w:pStyle w:val="5"/>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天府院区直饮水机报价</w:t>
      </w:r>
      <w:r>
        <w:rPr>
          <w:rFonts w:hint="eastAsia" w:ascii="宋体" w:hAnsi="宋体" w:eastAsia="宋体" w:cs="宋体"/>
          <w:b/>
          <w:bCs/>
          <w:sz w:val="24"/>
          <w:szCs w:val="24"/>
          <w:lang w:val="en-US" w:eastAsia="zh-CN"/>
        </w:rPr>
        <w:tab/>
      </w:r>
    </w:p>
    <w:tbl>
      <w:tblPr>
        <w:tblStyle w:val="16"/>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280"/>
        <w:gridCol w:w="746"/>
        <w:gridCol w:w="683"/>
        <w:gridCol w:w="1255"/>
        <w:gridCol w:w="1883"/>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8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满足人数</w:t>
            </w:r>
          </w:p>
        </w:tc>
        <w:tc>
          <w:tcPr>
            <w:tcW w:w="74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品牌</w:t>
            </w:r>
          </w:p>
        </w:tc>
        <w:tc>
          <w:tcPr>
            <w:tcW w:w="6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型号</w:t>
            </w:r>
          </w:p>
        </w:tc>
        <w:tc>
          <w:tcPr>
            <w:tcW w:w="125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每台年租赁费用（元/年）</w:t>
            </w:r>
          </w:p>
        </w:tc>
        <w:tc>
          <w:tcPr>
            <w:tcW w:w="1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响应参数</w:t>
            </w:r>
          </w:p>
        </w:tc>
        <w:tc>
          <w:tcPr>
            <w:tcW w:w="248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偏离参数（正偏离/负偏离）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8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30-50人</w:t>
            </w:r>
          </w:p>
        </w:tc>
        <w:tc>
          <w:tcPr>
            <w:tcW w:w="74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6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125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248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8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50-100人</w:t>
            </w:r>
          </w:p>
        </w:tc>
        <w:tc>
          <w:tcPr>
            <w:tcW w:w="74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6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125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188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c>
          <w:tcPr>
            <w:tcW w:w="248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vertAlign w:val="baseline"/>
                <w:lang w:val="en-US" w:eastAsia="zh-CN"/>
              </w:rPr>
            </w:pPr>
          </w:p>
        </w:tc>
      </w:tr>
    </w:tbl>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院内直饮水机与开水器维保报价</w:t>
      </w:r>
    </w:p>
    <w:tbl>
      <w:tblPr>
        <w:tblStyle w:val="15"/>
        <w:tblW w:w="9133"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7"/>
        <w:gridCol w:w="1516"/>
        <w:gridCol w:w="1817"/>
        <w:gridCol w:w="1649"/>
        <w:gridCol w:w="907"/>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9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服务价（元/台）</w:t>
            </w:r>
          </w:p>
        </w:tc>
        <w:tc>
          <w:tcPr>
            <w:tcW w:w="19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维保内容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威可利</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VL-10L</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07"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p>
        </w:tc>
        <w:tc>
          <w:tcPr>
            <w:tcW w:w="1927" w:type="dxa"/>
            <w:vMerge w:val="restart"/>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设备滤芯更换，设备维护维修。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WR-60L</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龙珠</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ZF-30</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SMQ-90JS</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骏诺</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ZF-30</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其他</w:t>
            </w:r>
          </w:p>
        </w:tc>
        <w:tc>
          <w:tcPr>
            <w:tcW w:w="181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电加热</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1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JD1752S-RO</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DP-20</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碧丽</w:t>
            </w: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JO-2Q-RO</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K35L-RO</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16"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JO-LV</w:t>
            </w: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927" w:type="dxa"/>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516"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0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p>
        </w:tc>
        <w:tc>
          <w:tcPr>
            <w:tcW w:w="192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16"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81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rPr>
            </w:pPr>
          </w:p>
        </w:tc>
        <w:tc>
          <w:tcPr>
            <w:tcW w:w="16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90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p>
        </w:tc>
        <w:tc>
          <w:tcPr>
            <w:tcW w:w="192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24"/>
                <w:szCs w:val="24"/>
                <w:u w:val="none"/>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rPr>
          <w:rFonts w:hint="eastAsia" w:ascii="宋体" w:hAnsi="宋体" w:eastAsia="宋体" w:cs="宋体"/>
          <w:b/>
          <w:bCs/>
          <w:color w:val="auto"/>
          <w:sz w:val="24"/>
          <w:szCs w:val="24"/>
          <w:lang w:val="en-US" w:eastAsia="zh-CN"/>
        </w:rPr>
      </w:pPr>
    </w:p>
    <w:p>
      <w:pPr>
        <w:pStyle w:val="2"/>
        <w:rPr>
          <w:rFonts w:hint="eastAsia" w:ascii="宋体" w:hAnsi="宋体" w:eastAsia="宋体" w:cs="宋体"/>
          <w:b/>
          <w:bCs/>
          <w:color w:val="auto"/>
          <w:sz w:val="24"/>
          <w:szCs w:val="24"/>
          <w:lang w:val="en-US" w:eastAsia="zh-CN"/>
        </w:rPr>
      </w:pPr>
    </w:p>
    <w:p>
      <w:pPr>
        <w:rPr>
          <w:rFonts w:hint="eastAsia" w:ascii="宋体" w:hAnsi="宋体" w:eastAsia="宋体" w:cs="宋体"/>
          <w:b/>
          <w:bCs/>
          <w:color w:val="auto"/>
          <w:sz w:val="24"/>
          <w:szCs w:val="24"/>
          <w:lang w:val="en-US" w:eastAsia="zh-CN"/>
        </w:rPr>
      </w:pPr>
    </w:p>
    <w:p>
      <w:pPr>
        <w:pStyle w:val="2"/>
        <w:rPr>
          <w:rFonts w:hint="eastAsia" w:ascii="宋体" w:hAnsi="宋体" w:eastAsia="宋体" w:cs="宋体"/>
          <w:b/>
          <w:bCs/>
          <w:color w:val="auto"/>
          <w:sz w:val="24"/>
          <w:szCs w:val="24"/>
          <w:lang w:val="en-US" w:eastAsia="zh-CN"/>
        </w:rPr>
      </w:pPr>
    </w:p>
    <w:p>
      <w:pPr>
        <w:rPr>
          <w:rFonts w:hint="eastAsia" w:ascii="宋体" w:hAnsi="宋体" w:eastAsia="宋体" w:cs="宋体"/>
          <w:b/>
          <w:bCs/>
          <w:color w:val="auto"/>
          <w:sz w:val="24"/>
          <w:szCs w:val="24"/>
          <w:lang w:val="en-US" w:eastAsia="zh-CN"/>
        </w:rPr>
      </w:pPr>
    </w:p>
    <w:p>
      <w:pPr>
        <w:pStyle w:val="2"/>
        <w:rPr>
          <w:rFonts w:hint="eastAsia" w:ascii="宋体" w:hAnsi="宋体" w:eastAsia="宋体" w:cs="宋体"/>
          <w:b/>
          <w:bCs/>
          <w:color w:val="auto"/>
          <w:sz w:val="24"/>
          <w:szCs w:val="24"/>
          <w:lang w:val="en-US" w:eastAsia="zh-CN"/>
        </w:rPr>
      </w:pPr>
    </w:p>
    <w:p>
      <w:pPr>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2"/>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2"/>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5"/>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2"/>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2"/>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2"/>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1"/>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1"/>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4"/>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4"/>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4"/>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color w:val="auto"/>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hint="eastAsia" w:eastAsia="宋体"/>
        <w:lang w:eastAsia="zh-CN"/>
      </w:rPr>
    </w:pPr>
  </w:p>
  <w:p>
    <w:pPr>
      <w:pStyle w:val="9"/>
      <w:pBdr>
        <w:bottom w:val="none" w:color="auto" w:sz="0" w:space="0"/>
      </w:pBdr>
      <w:jc w:val="left"/>
      <w:rPr>
        <w:rFonts w:hint="eastAsia" w:eastAsia="宋体"/>
        <w:lang w:eastAsia="zh-CN"/>
      </w:rPr>
    </w:pPr>
  </w:p>
  <w:p>
    <w:pPr>
      <w:pStyle w:val="9"/>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AE790609"/>
    <w:multiLevelType w:val="singleLevel"/>
    <w:tmpl w:val="AE790609"/>
    <w:lvl w:ilvl="0" w:tentative="0">
      <w:start w:val="1"/>
      <w:numFmt w:val="decimal"/>
      <w:suff w:val="space"/>
      <w:lvlText w:val="%1."/>
      <w:lvlJc w:val="left"/>
    </w:lvl>
  </w:abstractNum>
  <w:abstractNum w:abstractNumId="3">
    <w:nsid w:val="132D7849"/>
    <w:multiLevelType w:val="singleLevel"/>
    <w:tmpl w:val="132D7849"/>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37560B"/>
    <w:rsid w:val="01582E9F"/>
    <w:rsid w:val="022561DB"/>
    <w:rsid w:val="024B5F91"/>
    <w:rsid w:val="02592AC5"/>
    <w:rsid w:val="026305F6"/>
    <w:rsid w:val="02E53A75"/>
    <w:rsid w:val="0423435A"/>
    <w:rsid w:val="04C176DC"/>
    <w:rsid w:val="055B4CC1"/>
    <w:rsid w:val="05AC5F14"/>
    <w:rsid w:val="05CD03BE"/>
    <w:rsid w:val="07AF5FEE"/>
    <w:rsid w:val="0841125E"/>
    <w:rsid w:val="088710D9"/>
    <w:rsid w:val="089839BA"/>
    <w:rsid w:val="094F5478"/>
    <w:rsid w:val="09CB0FCE"/>
    <w:rsid w:val="09F4147B"/>
    <w:rsid w:val="0A277760"/>
    <w:rsid w:val="0ACF324E"/>
    <w:rsid w:val="0B565E48"/>
    <w:rsid w:val="0B5E2A33"/>
    <w:rsid w:val="0C0418A5"/>
    <w:rsid w:val="0C1A446B"/>
    <w:rsid w:val="0CC42C4A"/>
    <w:rsid w:val="0CE1020E"/>
    <w:rsid w:val="0CE90D83"/>
    <w:rsid w:val="0D272843"/>
    <w:rsid w:val="0F4628CF"/>
    <w:rsid w:val="0F71729A"/>
    <w:rsid w:val="0F914A2F"/>
    <w:rsid w:val="0FD4292A"/>
    <w:rsid w:val="100C0103"/>
    <w:rsid w:val="10863CAA"/>
    <w:rsid w:val="109819C6"/>
    <w:rsid w:val="10DB653E"/>
    <w:rsid w:val="112F7D4C"/>
    <w:rsid w:val="114C276E"/>
    <w:rsid w:val="12173925"/>
    <w:rsid w:val="129243DD"/>
    <w:rsid w:val="12BB52A2"/>
    <w:rsid w:val="133A1F00"/>
    <w:rsid w:val="134D3C64"/>
    <w:rsid w:val="13E76168"/>
    <w:rsid w:val="14706D5B"/>
    <w:rsid w:val="15517106"/>
    <w:rsid w:val="15855BCE"/>
    <w:rsid w:val="15B71161"/>
    <w:rsid w:val="16795C6E"/>
    <w:rsid w:val="177F6166"/>
    <w:rsid w:val="192B394B"/>
    <w:rsid w:val="196B01BF"/>
    <w:rsid w:val="1A8B0593"/>
    <w:rsid w:val="1BE62AD2"/>
    <w:rsid w:val="1C151423"/>
    <w:rsid w:val="1C6513AC"/>
    <w:rsid w:val="1C962C76"/>
    <w:rsid w:val="1D7B096A"/>
    <w:rsid w:val="1D7D134A"/>
    <w:rsid w:val="1DC80A69"/>
    <w:rsid w:val="1E461337"/>
    <w:rsid w:val="1E9514A0"/>
    <w:rsid w:val="1F051509"/>
    <w:rsid w:val="1FD72787"/>
    <w:rsid w:val="20AF2A2B"/>
    <w:rsid w:val="20EF1296"/>
    <w:rsid w:val="2161289E"/>
    <w:rsid w:val="21AD5563"/>
    <w:rsid w:val="2216237D"/>
    <w:rsid w:val="22A13562"/>
    <w:rsid w:val="22BF1165"/>
    <w:rsid w:val="231A50A3"/>
    <w:rsid w:val="23305048"/>
    <w:rsid w:val="236E081B"/>
    <w:rsid w:val="2487307B"/>
    <w:rsid w:val="2508096D"/>
    <w:rsid w:val="25101CDA"/>
    <w:rsid w:val="2513129E"/>
    <w:rsid w:val="2547125A"/>
    <w:rsid w:val="2559103D"/>
    <w:rsid w:val="25685003"/>
    <w:rsid w:val="256C23F4"/>
    <w:rsid w:val="25C97BEE"/>
    <w:rsid w:val="2695649A"/>
    <w:rsid w:val="26E41B28"/>
    <w:rsid w:val="281955CF"/>
    <w:rsid w:val="281D195D"/>
    <w:rsid w:val="29266E1A"/>
    <w:rsid w:val="2A044599"/>
    <w:rsid w:val="2A0F7B8F"/>
    <w:rsid w:val="2B05240B"/>
    <w:rsid w:val="2B7C00E6"/>
    <w:rsid w:val="2BF4266B"/>
    <w:rsid w:val="2C413326"/>
    <w:rsid w:val="2C694046"/>
    <w:rsid w:val="2C9638AE"/>
    <w:rsid w:val="2CB371D5"/>
    <w:rsid w:val="2CF3776A"/>
    <w:rsid w:val="2D0C3CF4"/>
    <w:rsid w:val="2D611200"/>
    <w:rsid w:val="2D7F4851"/>
    <w:rsid w:val="2DC56D26"/>
    <w:rsid w:val="30806B9E"/>
    <w:rsid w:val="30B43B75"/>
    <w:rsid w:val="314C4FED"/>
    <w:rsid w:val="31650772"/>
    <w:rsid w:val="31E9143D"/>
    <w:rsid w:val="33886860"/>
    <w:rsid w:val="34A55F9D"/>
    <w:rsid w:val="34BE33D7"/>
    <w:rsid w:val="35344E80"/>
    <w:rsid w:val="35B83942"/>
    <w:rsid w:val="35DB18E9"/>
    <w:rsid w:val="361A126B"/>
    <w:rsid w:val="36545D30"/>
    <w:rsid w:val="36BF0CFE"/>
    <w:rsid w:val="36EC758F"/>
    <w:rsid w:val="37671CCB"/>
    <w:rsid w:val="383D10D3"/>
    <w:rsid w:val="38FA4D0A"/>
    <w:rsid w:val="39A43E9E"/>
    <w:rsid w:val="39CA62DC"/>
    <w:rsid w:val="3BD9314A"/>
    <w:rsid w:val="3BDD1C9A"/>
    <w:rsid w:val="3C6234CA"/>
    <w:rsid w:val="3D5123A5"/>
    <w:rsid w:val="3E3C3D7F"/>
    <w:rsid w:val="3F0F3FAB"/>
    <w:rsid w:val="3F3D74FE"/>
    <w:rsid w:val="3F4967D2"/>
    <w:rsid w:val="3F5F4684"/>
    <w:rsid w:val="3FBC281F"/>
    <w:rsid w:val="3FD8434D"/>
    <w:rsid w:val="4203276F"/>
    <w:rsid w:val="432A1B18"/>
    <w:rsid w:val="435E7112"/>
    <w:rsid w:val="43E06BC0"/>
    <w:rsid w:val="450B6A83"/>
    <w:rsid w:val="4537221B"/>
    <w:rsid w:val="45631693"/>
    <w:rsid w:val="46263727"/>
    <w:rsid w:val="46646ADA"/>
    <w:rsid w:val="480004B0"/>
    <w:rsid w:val="48A06651"/>
    <w:rsid w:val="49492114"/>
    <w:rsid w:val="495777FB"/>
    <w:rsid w:val="4AF20173"/>
    <w:rsid w:val="4B0C6E2E"/>
    <w:rsid w:val="4B8D691A"/>
    <w:rsid w:val="4BAE772A"/>
    <w:rsid w:val="4BB17333"/>
    <w:rsid w:val="4C4A7B3B"/>
    <w:rsid w:val="4C4F073F"/>
    <w:rsid w:val="4C8B4D21"/>
    <w:rsid w:val="4CEA1A71"/>
    <w:rsid w:val="4DC3281F"/>
    <w:rsid w:val="4DFC16FF"/>
    <w:rsid w:val="4EE14267"/>
    <w:rsid w:val="50066CA3"/>
    <w:rsid w:val="501A1A7A"/>
    <w:rsid w:val="504533AC"/>
    <w:rsid w:val="50485D02"/>
    <w:rsid w:val="518B59E0"/>
    <w:rsid w:val="5244176A"/>
    <w:rsid w:val="52622C38"/>
    <w:rsid w:val="541532F3"/>
    <w:rsid w:val="544669FD"/>
    <w:rsid w:val="54F21968"/>
    <w:rsid w:val="550310E3"/>
    <w:rsid w:val="55BB16B6"/>
    <w:rsid w:val="56C57A34"/>
    <w:rsid w:val="572B3928"/>
    <w:rsid w:val="574F6249"/>
    <w:rsid w:val="57AD74C8"/>
    <w:rsid w:val="58071A1F"/>
    <w:rsid w:val="599B1691"/>
    <w:rsid w:val="5B6B0AF7"/>
    <w:rsid w:val="5C25090C"/>
    <w:rsid w:val="5E8575A0"/>
    <w:rsid w:val="5ECC5796"/>
    <w:rsid w:val="5F276DA9"/>
    <w:rsid w:val="5F3F2478"/>
    <w:rsid w:val="60081EA4"/>
    <w:rsid w:val="606964BC"/>
    <w:rsid w:val="616E24E6"/>
    <w:rsid w:val="619A462F"/>
    <w:rsid w:val="62312A9D"/>
    <w:rsid w:val="63545F00"/>
    <w:rsid w:val="635C21B5"/>
    <w:rsid w:val="64202DC6"/>
    <w:rsid w:val="64A52913"/>
    <w:rsid w:val="66F37E01"/>
    <w:rsid w:val="671B6946"/>
    <w:rsid w:val="671D4CBB"/>
    <w:rsid w:val="67D61EEB"/>
    <w:rsid w:val="67FA45E8"/>
    <w:rsid w:val="6841159B"/>
    <w:rsid w:val="687F107F"/>
    <w:rsid w:val="68822004"/>
    <w:rsid w:val="6A6F1DC6"/>
    <w:rsid w:val="6B405AFC"/>
    <w:rsid w:val="6BD8207B"/>
    <w:rsid w:val="6C5661CD"/>
    <w:rsid w:val="6C8C2E23"/>
    <w:rsid w:val="6CA17546"/>
    <w:rsid w:val="6D870634"/>
    <w:rsid w:val="6F7F20D5"/>
    <w:rsid w:val="6FC43CA6"/>
    <w:rsid w:val="71D8190B"/>
    <w:rsid w:val="71DE05CD"/>
    <w:rsid w:val="72740C55"/>
    <w:rsid w:val="72F06D27"/>
    <w:rsid w:val="7328385A"/>
    <w:rsid w:val="739065EB"/>
    <w:rsid w:val="73DF11F6"/>
    <w:rsid w:val="73F26EC8"/>
    <w:rsid w:val="74352E35"/>
    <w:rsid w:val="74410750"/>
    <w:rsid w:val="744C6441"/>
    <w:rsid w:val="7504516D"/>
    <w:rsid w:val="75F21E91"/>
    <w:rsid w:val="761B77D2"/>
    <w:rsid w:val="76880984"/>
    <w:rsid w:val="76DE6D2F"/>
    <w:rsid w:val="77E2713E"/>
    <w:rsid w:val="78A07BDA"/>
    <w:rsid w:val="78B64B97"/>
    <w:rsid w:val="7AB14371"/>
    <w:rsid w:val="7AB46BDC"/>
    <w:rsid w:val="7B134949"/>
    <w:rsid w:val="7B5209E2"/>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4">
    <w:name w:val="Normal Indent"/>
    <w:basedOn w:val="1"/>
    <w:autoRedefine/>
    <w:qFormat/>
    <w:uiPriority w:val="0"/>
    <w:pPr>
      <w:widowControl w:val="0"/>
      <w:spacing w:line="360" w:lineRule="auto"/>
      <w:ind w:firstLine="420" w:firstLineChars="200"/>
      <w:jc w:val="both"/>
    </w:pPr>
    <w:rPr>
      <w:kern w:val="2"/>
      <w:sz w:val="21"/>
    </w:rPr>
  </w:style>
  <w:style w:type="paragraph" w:styleId="5">
    <w:name w:val="annotation text"/>
    <w:basedOn w:val="1"/>
    <w:autoRedefine/>
    <w:qFormat/>
    <w:uiPriority w:val="0"/>
    <w:pPr>
      <w:widowControl w:val="0"/>
    </w:pPr>
    <w:rPr>
      <w:kern w:val="2"/>
      <w:sz w:val="18"/>
      <w:szCs w:val="20"/>
    </w:rPr>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footer"/>
    <w:basedOn w:val="1"/>
    <w:autoRedefine/>
    <w:qFormat/>
    <w:uiPriority w:val="0"/>
    <w:pPr>
      <w:tabs>
        <w:tab w:val="center" w:pos="4153"/>
        <w:tab w:val="right" w:pos="8306"/>
      </w:tabs>
      <w:snapToGrid w:val="0"/>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spacing w:line="180" w:lineRule="auto"/>
      <w:jc w:val="center"/>
    </w:pPr>
    <w:rPr>
      <w:sz w:val="30"/>
    </w:rPr>
  </w:style>
  <w:style w:type="paragraph" w:styleId="11">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14">
    <w:name w:val="Body Text First Indent 2"/>
    <w:basedOn w:val="6"/>
    <w:autoRedefine/>
    <w:qFormat/>
    <w:uiPriority w:val="0"/>
    <w:pPr>
      <w:ind w:firstLine="42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autoRedefine/>
    <w:qFormat/>
    <w:uiPriority w:val="99"/>
    <w:rPr>
      <w:sz w:val="21"/>
      <w:szCs w:val="21"/>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GW-正文"/>
    <w:basedOn w:val="1"/>
    <w:autoRedefine/>
    <w:qFormat/>
    <w:uiPriority w:val="0"/>
    <w:pPr>
      <w:spacing w:line="360" w:lineRule="auto"/>
      <w:ind w:firstLine="200" w:firstLineChars="200"/>
    </w:pPr>
    <w:rPr>
      <w:rFonts w:eastAsia="仿宋_GB2312"/>
      <w:sz w:val="24"/>
      <w:szCs w:val="24"/>
    </w:rPr>
  </w:style>
  <w:style w:type="paragraph" w:customStyle="1" w:styleId="22">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2024-04-30T02:50:54Z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0C62A840465A4D1BB9F10F7C33176816_13</vt:lpwstr>
  </property>
</Properties>
</file>