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SCFY-YXZB202405-001（比）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预算：18000（元）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20" w:type="dxa"/>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600" w:type="dxa"/>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1020" w:type="dxa"/>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996" w:type="dxa"/>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808" w:type="dxa"/>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6069" w:type="dxa"/>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20" w:type="dxa"/>
            <w:vMerge w:val="continue"/>
            <w:noWrap w:val="0"/>
            <w:vAlign w:val="center"/>
          </w:tcPr>
          <w:p>
            <w:pPr>
              <w:spacing w:line="420" w:lineRule="exact"/>
              <w:jc w:val="center"/>
              <w:rPr>
                <w:rFonts w:hint="eastAsia" w:cs="宋体"/>
                <w:color w:val="000000"/>
                <w:kern w:val="0"/>
              </w:rPr>
            </w:pPr>
          </w:p>
        </w:tc>
        <w:tc>
          <w:tcPr>
            <w:tcW w:w="600" w:type="dxa"/>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1020" w:type="dxa"/>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胃肠道造影显像剂</w:t>
            </w:r>
          </w:p>
        </w:tc>
        <w:tc>
          <w:tcPr>
            <w:tcW w:w="996" w:type="dxa"/>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150元</w:t>
            </w:r>
          </w:p>
        </w:tc>
        <w:tc>
          <w:tcPr>
            <w:tcW w:w="808" w:type="dxa"/>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120个</w:t>
            </w:r>
          </w:p>
        </w:tc>
        <w:tc>
          <w:tcPr>
            <w:tcW w:w="6069" w:type="dxa"/>
            <w:noWrap w:val="0"/>
            <w:vAlign w:val="center"/>
          </w:tcPr>
          <w:p>
            <w:pPr>
              <w:widowControl/>
              <w:jc w:val="both"/>
              <w:textAlignment w:val="center"/>
              <w:rPr>
                <w:rFonts w:hint="default" w:ascii="宋体" w:hAnsi="宋体" w:cs="宋体"/>
                <w:color w:val="000000"/>
                <w:kern w:val="2"/>
                <w:sz w:val="21"/>
                <w:szCs w:val="21"/>
                <w:lang w:val="en-US" w:eastAsia="zh-CN" w:bidi="ar-SA"/>
              </w:rPr>
            </w:pPr>
            <w:r>
              <w:rPr>
                <w:rFonts w:hint="eastAsia" w:ascii="Times New Roman" w:hAnsi="Times New Roman" w:eastAsia="宋体" w:cs="Times New Roman"/>
              </w:rPr>
              <w:t>▲</w:t>
            </w:r>
            <w:r>
              <w:rPr>
                <w:rFonts w:hint="eastAsia" w:ascii="宋体" w:hAnsi="宋体" w:cs="宋体"/>
                <w:color w:val="000000"/>
                <w:kern w:val="2"/>
                <w:sz w:val="21"/>
                <w:szCs w:val="21"/>
                <w:lang w:val="en-US" w:eastAsia="zh-CN" w:bidi="ar-SA"/>
              </w:rPr>
              <w:t>1.用于腹部CT检查时胃肠道显影，口服阳性对比剂。</w:t>
            </w:r>
          </w:p>
          <w:p>
            <w:pPr>
              <w:widowControl/>
              <w:jc w:val="both"/>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2.不含碘剂，不被人体吸收，无致敏性，无毒性。</w:t>
            </w:r>
          </w:p>
          <w:p>
            <w:pPr>
              <w:widowControl/>
              <w:jc w:val="both"/>
              <w:textAlignment w:val="center"/>
              <w:rPr>
                <w:rFonts w:hint="default"/>
                <w:lang w:val="en-US" w:eastAsia="zh-CN"/>
              </w:rPr>
            </w:pPr>
            <w:r>
              <w:rPr>
                <w:rFonts w:hint="eastAsia" w:ascii="宋体" w:hAnsi="宋体" w:cs="宋体"/>
                <w:color w:val="000000"/>
                <w:kern w:val="2"/>
                <w:sz w:val="21"/>
                <w:szCs w:val="21"/>
                <w:lang w:val="en-US" w:eastAsia="zh-CN" w:bidi="ar-SA"/>
              </w:rPr>
              <w:t>3.糖尿病患者可使用。</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72"/>
        <w:gridCol w:w="552"/>
        <w:gridCol w:w="4206"/>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6" w:type="dxa"/>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ascii="宋体" w:hAnsi="宋体" w:cs="Segoe UI"/>
                <w:b/>
                <w:color w:val="333333"/>
                <w:kern w:val="0"/>
                <w:sz w:val="18"/>
                <w:szCs w:val="18"/>
              </w:rPr>
            </w:pPr>
            <w:r>
              <w:rPr>
                <w:rFonts w:hint="eastAsia" w:cs="宋体"/>
                <w:color w:val="000000"/>
                <w:kern w:val="0"/>
              </w:rPr>
              <w:t>细则</w:t>
            </w:r>
          </w:p>
        </w:tc>
        <w:tc>
          <w:tcPr>
            <w:tcW w:w="972" w:type="dxa"/>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52" w:type="dxa"/>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4206" w:type="dxa"/>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4322" w:type="dxa"/>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6" w:type="dxa"/>
            <w:vMerge w:val="continue"/>
            <w:noWrap w:val="0"/>
            <w:vAlign w:val="center"/>
          </w:tcPr>
          <w:p>
            <w:pPr>
              <w:spacing w:line="420" w:lineRule="exact"/>
              <w:jc w:val="center"/>
              <w:rPr>
                <w:rFonts w:ascii="宋体" w:hAnsi="宋体" w:cs="Segoe UI"/>
                <w:color w:val="333333"/>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52" w:type="dxa"/>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4206" w:type="dxa"/>
            <w:noWrap w:val="0"/>
            <w:vAlign w:val="center"/>
          </w:tcPr>
          <w:p>
            <w:pPr>
              <w:widowControl/>
              <w:wordWrap w:val="0"/>
              <w:spacing w:line="270" w:lineRule="atLeast"/>
              <w:jc w:val="center"/>
              <w:rPr>
                <w:rFonts w:ascii="宋体" w:hAnsi="宋体" w:cs="Segoe UI"/>
                <w:b/>
                <w:kern w:val="0"/>
                <w:sz w:val="18"/>
                <w:szCs w:val="18"/>
                <w:lang w:val="en-US" w:eastAsia="zh-CN" w:bidi="ar-SA"/>
              </w:rPr>
            </w:pPr>
            <w:r>
              <w:rPr>
                <w:rFonts w:hint="eastAsia" w:ascii="宋体" w:hAnsi="宋体" w:cs="Segoe UI"/>
                <w:color w:val="000000"/>
                <w:kern w:val="0"/>
                <w:sz w:val="18"/>
                <w:szCs w:val="18"/>
                <w:lang w:val="en-US" w:eastAsia="zh-CN"/>
              </w:rPr>
              <w:t>30</w:t>
            </w:r>
          </w:p>
        </w:tc>
        <w:tc>
          <w:tcPr>
            <w:tcW w:w="4322" w:type="dxa"/>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96" w:type="dxa"/>
            <w:vMerge w:val="continue"/>
            <w:noWrap w:val="0"/>
            <w:vAlign w:val="center"/>
          </w:tcPr>
          <w:p>
            <w:pPr>
              <w:spacing w:line="420" w:lineRule="exact"/>
              <w:jc w:val="center"/>
              <w:rPr>
                <w:rFonts w:ascii="宋体" w:hAnsi="宋体" w:cs="Segoe UI"/>
                <w:color w:val="333333"/>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52" w:type="dxa"/>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4206" w:type="dxa"/>
            <w:noWrap w:val="0"/>
            <w:vAlign w:val="center"/>
          </w:tcPr>
          <w:p>
            <w:pPr>
              <w:widowControl/>
              <w:wordWrap w:val="0"/>
              <w:spacing w:line="270" w:lineRule="atLeast"/>
              <w:jc w:val="center"/>
              <w:rPr>
                <w:rFonts w:ascii="宋体" w:hAnsi="宋体" w:cs="Segoe UI"/>
                <w:kern w:val="0"/>
                <w:sz w:val="18"/>
                <w:szCs w:val="18"/>
                <w:lang w:val="en-US" w:eastAsia="zh-CN" w:bidi="ar-SA"/>
              </w:rPr>
            </w:pPr>
            <w:r>
              <w:rPr>
                <w:rFonts w:hint="eastAsia" w:ascii="宋体" w:hAnsi="宋体" w:cs="Segoe UI"/>
                <w:color w:val="000000"/>
                <w:kern w:val="0"/>
                <w:sz w:val="18"/>
                <w:szCs w:val="18"/>
                <w:lang w:val="en-US" w:eastAsia="zh-CN"/>
              </w:rPr>
              <w:t>40</w:t>
            </w:r>
          </w:p>
        </w:tc>
        <w:tc>
          <w:tcPr>
            <w:tcW w:w="4322" w:type="dxa"/>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w:t>
            </w:r>
            <w:r>
              <w:rPr>
                <w:rFonts w:hint="eastAsia" w:ascii="宋体" w:hAnsi="宋体" w:cs="宋体"/>
                <w:color w:val="auto"/>
                <w:kern w:val="0"/>
                <w:sz w:val="18"/>
                <w:szCs w:val="18"/>
              </w:rPr>
              <w:t>试剂耗材的技术参数完全符合招标文件要求，没有负偏离得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分；非“*”条款技术参数不满足招标文件要求（负偏离），一</w:t>
            </w:r>
            <w:r>
              <w:rPr>
                <w:rFonts w:hint="eastAsia" w:ascii="宋体" w:hAnsi="宋体" w:cs="宋体"/>
                <w:color w:val="auto"/>
                <w:kern w:val="0"/>
                <w:sz w:val="18"/>
                <w:szCs w:val="18"/>
                <w:lang w:val="en-US" w:eastAsia="zh-CN"/>
              </w:rPr>
              <w:t>条</w:t>
            </w:r>
            <w:r>
              <w:rPr>
                <w:rFonts w:hint="eastAsia" w:ascii="宋体" w:hAnsi="宋体" w:cs="宋体"/>
                <w:color w:val="auto"/>
                <w:kern w:val="0"/>
                <w:sz w:val="18"/>
                <w:szCs w:val="18"/>
              </w:rPr>
              <w:t>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kern w:val="0"/>
                <w:sz w:val="18"/>
                <w:szCs w:val="18"/>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6" w:type="dxa"/>
            <w:vMerge w:val="continue"/>
            <w:noWrap w:val="0"/>
            <w:vAlign w:val="center"/>
          </w:tcPr>
          <w:p>
            <w:pPr>
              <w:spacing w:line="420" w:lineRule="exact"/>
              <w:jc w:val="center"/>
              <w:rPr>
                <w:rFonts w:hint="eastAsia" w:ascii="宋体" w:hAnsi="宋体" w:cs="Segoe UI"/>
                <w:color w:val="000000"/>
                <w:kern w:val="0"/>
                <w:sz w:val="18"/>
                <w:szCs w:val="18"/>
                <w:lang w:val="en-US" w:eastAsia="zh-CN" w:bidi="ar-SA"/>
              </w:rPr>
            </w:pPr>
          </w:p>
        </w:tc>
        <w:tc>
          <w:tcPr>
            <w:tcW w:w="972" w:type="dxa"/>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552" w:type="dxa"/>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4206" w:type="dxa"/>
            <w:noWrap w:val="0"/>
            <w:vAlign w:val="center"/>
          </w:tcPr>
          <w:p>
            <w:pPr>
              <w:widowControl/>
              <w:wordWrap w:val="0"/>
              <w:spacing w:line="270" w:lineRule="atLeast"/>
              <w:jc w:val="center"/>
              <w:rPr>
                <w:rFonts w:hint="eastAsia" w:ascii="宋体" w:hAnsi="宋体" w:cs="宋体"/>
                <w:kern w:val="0"/>
                <w:sz w:val="18"/>
                <w:szCs w:val="18"/>
                <w:lang w:val="en-US" w:eastAsia="zh-CN" w:bidi="ar-SA"/>
              </w:rPr>
            </w:pPr>
            <w:r>
              <w:rPr>
                <w:rFonts w:hint="eastAsia" w:ascii="宋体" w:hAnsi="宋体" w:cs="Segoe UI"/>
                <w:color w:val="000000"/>
                <w:kern w:val="0"/>
                <w:sz w:val="18"/>
                <w:szCs w:val="18"/>
                <w:lang w:val="en-US" w:eastAsia="zh-CN"/>
              </w:rPr>
              <w:t>10</w:t>
            </w:r>
          </w:p>
        </w:tc>
        <w:tc>
          <w:tcPr>
            <w:tcW w:w="4322" w:type="dxa"/>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w:t>
            </w:r>
            <w:r>
              <w:rPr>
                <w:rFonts w:hint="eastAsia" w:ascii="宋体" w:hAnsi="宋体" w:cs="宋体"/>
                <w:kern w:val="0"/>
                <w:sz w:val="18"/>
                <w:szCs w:val="18"/>
                <w:lang w:val="en-US" w:eastAsia="zh-CN"/>
              </w:rPr>
              <w:t>响应</w:t>
            </w:r>
            <w:r>
              <w:rPr>
                <w:rFonts w:hint="eastAsia" w:ascii="宋体" w:hAnsi="宋体" w:cs="宋体"/>
                <w:kern w:val="0"/>
                <w:sz w:val="18"/>
                <w:szCs w:val="18"/>
              </w:rPr>
              <w:t>产品样品，根据样品的外观、材质、性能、是否符合临床需求等综合评定，优9-1</w:t>
            </w:r>
            <w:r>
              <w:rPr>
                <w:rFonts w:hint="eastAsia" w:ascii="宋体" w:hAnsi="宋体" w:cs="宋体"/>
                <w:kern w:val="0"/>
                <w:sz w:val="18"/>
                <w:szCs w:val="18"/>
                <w:lang w:val="en-US" w:eastAsia="zh-CN"/>
              </w:rPr>
              <w:t>0</w:t>
            </w:r>
            <w:r>
              <w:rPr>
                <w:rFonts w:hint="eastAsia" w:ascii="宋体" w:hAnsi="宋体" w:cs="宋体"/>
                <w:kern w:val="0"/>
                <w:sz w:val="18"/>
                <w:szCs w:val="18"/>
              </w:rPr>
              <w:t>分；良得6-8分；差得1-5分；未提供或提供不全本项不得分。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96" w:type="dxa"/>
            <w:vMerge w:val="continue"/>
            <w:noWrap w:val="0"/>
            <w:vAlign w:val="center"/>
          </w:tcPr>
          <w:p>
            <w:pPr>
              <w:spacing w:line="420" w:lineRule="exact"/>
              <w:jc w:val="center"/>
              <w:rPr>
                <w:rFonts w:hint="eastAsia" w:ascii="宋体" w:hAnsi="宋体" w:cs="Segoe UI"/>
                <w:color w:val="333333"/>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rPr>
              <w:t>4</w:t>
            </w:r>
          </w:p>
        </w:tc>
        <w:tc>
          <w:tcPr>
            <w:tcW w:w="552" w:type="dxa"/>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4206" w:type="dxa"/>
            <w:noWrap w:val="0"/>
            <w:vAlign w:val="center"/>
          </w:tcPr>
          <w:p>
            <w:pPr>
              <w:widowControl/>
              <w:wordWrap w:val="0"/>
              <w:spacing w:line="270" w:lineRule="atLeast"/>
              <w:jc w:val="center"/>
              <w:rPr>
                <w:rFonts w:hint="eastAsia" w:ascii="宋体" w:hAnsi="宋体" w:eastAsia="宋体" w:cs="宋体"/>
                <w:color w:val="333333"/>
                <w:kern w:val="0"/>
                <w:sz w:val="18"/>
                <w:szCs w:val="18"/>
                <w:lang w:val="en-US" w:eastAsia="zh-CN" w:bidi="ar-SA"/>
              </w:rPr>
            </w:pPr>
            <w:r>
              <w:rPr>
                <w:rFonts w:hint="eastAsia" w:ascii="宋体" w:hAnsi="宋体" w:cs="Segoe UI"/>
                <w:color w:val="333333"/>
                <w:kern w:val="0"/>
                <w:sz w:val="18"/>
                <w:szCs w:val="18"/>
                <w:lang w:val="en-US" w:eastAsia="zh-CN"/>
              </w:rPr>
              <w:t>11</w:t>
            </w:r>
          </w:p>
        </w:tc>
        <w:tc>
          <w:tcPr>
            <w:tcW w:w="4322" w:type="dxa"/>
            <w:noWrap w:val="0"/>
            <w:vAlign w:val="center"/>
          </w:tcPr>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21</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11</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96" w:type="dxa"/>
            <w:vMerge w:val="continue"/>
            <w:noWrap w:val="0"/>
            <w:vAlign w:val="center"/>
          </w:tcPr>
          <w:p>
            <w:pPr>
              <w:spacing w:line="420" w:lineRule="exact"/>
              <w:jc w:val="center"/>
              <w:rPr>
                <w:rFonts w:hint="eastAsia" w:ascii="宋体" w:hAnsi="宋体" w:cs="Segoe UI"/>
                <w:color w:val="000000"/>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552" w:type="dxa"/>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4206" w:type="dxa"/>
            <w:noWrap w:val="0"/>
            <w:vAlign w:val="center"/>
          </w:tcPr>
          <w:p>
            <w:pPr>
              <w:widowControl/>
              <w:spacing w:line="320" w:lineRule="atLeast"/>
              <w:ind w:left="-105" w:leftChars="0" w:right="-107" w:rightChars="0"/>
              <w:jc w:val="center"/>
              <w:rPr>
                <w:rFonts w:hint="default" w:ascii="宋体" w:hAnsi="宋体" w:cs="Segoe UI"/>
                <w:color w:val="000000"/>
                <w:kern w:val="0"/>
                <w:sz w:val="18"/>
                <w:szCs w:val="18"/>
                <w:lang w:val="en-US" w:eastAsia="zh-CN" w:bidi="ar-SA"/>
              </w:rPr>
            </w:pPr>
            <w:r>
              <w:rPr>
                <w:rFonts w:hint="eastAsia" w:ascii="宋体" w:hAnsi="宋体" w:cs="Segoe UI"/>
                <w:color w:val="333333"/>
                <w:kern w:val="0"/>
                <w:sz w:val="18"/>
                <w:szCs w:val="18"/>
                <w:lang w:val="en-US" w:eastAsia="zh-CN"/>
              </w:rPr>
              <w:t>9</w:t>
            </w:r>
            <w:bookmarkStart w:id="135" w:name="_GoBack"/>
            <w:bookmarkEnd w:id="135"/>
          </w:p>
        </w:tc>
        <w:tc>
          <w:tcPr>
            <w:tcW w:w="4322" w:type="dxa"/>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96" w:type="dxa"/>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ascii="宋体" w:hAnsi="宋体" w:cs="Segoe UI"/>
                <w:color w:val="000000"/>
                <w:kern w:val="0"/>
                <w:sz w:val="18"/>
                <w:szCs w:val="18"/>
              </w:rPr>
            </w:pPr>
            <w:r>
              <w:rPr>
                <w:rFonts w:hint="eastAsia" w:cs="宋体"/>
                <w:color w:val="000000"/>
                <w:kern w:val="0"/>
              </w:rPr>
              <w:t>细则</w:t>
            </w:r>
          </w:p>
        </w:tc>
        <w:tc>
          <w:tcPr>
            <w:tcW w:w="972" w:type="dxa"/>
            <w:noWrap w:val="0"/>
            <w:vAlign w:val="center"/>
          </w:tcPr>
          <w:p>
            <w:pPr>
              <w:widowControl/>
              <w:wordWrap w:val="0"/>
              <w:spacing w:line="240" w:lineRule="atLeast"/>
              <w:jc w:val="center"/>
              <w:rPr>
                <w:rFonts w:hint="eastAsia" w:ascii="宋体" w:hAnsi="宋体" w:cs="宋体"/>
                <w:color w:val="000000"/>
                <w:kern w:val="0"/>
                <w:sz w:val="18"/>
                <w:szCs w:val="18"/>
                <w:lang w:val="en-US" w:eastAsia="zh-CN"/>
              </w:rPr>
            </w:pPr>
            <w:r>
              <w:rPr>
                <w:rFonts w:hint="eastAsia" w:ascii="宋体" w:hAnsi="宋体" w:cs="Segoe UI"/>
                <w:b/>
                <w:color w:val="333333"/>
                <w:kern w:val="0"/>
                <w:sz w:val="18"/>
                <w:szCs w:val="18"/>
              </w:rPr>
              <w:t>序号</w:t>
            </w:r>
          </w:p>
        </w:tc>
        <w:tc>
          <w:tcPr>
            <w:tcW w:w="552" w:type="dxa"/>
            <w:noWrap w:val="0"/>
            <w:vAlign w:val="center"/>
          </w:tcPr>
          <w:p>
            <w:pPr>
              <w:widowControl/>
              <w:spacing w:line="240" w:lineRule="atLeast"/>
              <w:jc w:val="center"/>
              <w:rPr>
                <w:rFonts w:hint="eastAsia" w:ascii="宋体" w:hAnsi="宋体" w:cs="Segoe UI"/>
                <w:color w:val="333333"/>
                <w:kern w:val="0"/>
                <w:sz w:val="18"/>
                <w:szCs w:val="18"/>
                <w:lang w:val="en-US" w:eastAsia="zh-CN"/>
              </w:rPr>
            </w:pPr>
            <w:r>
              <w:rPr>
                <w:rFonts w:hint="eastAsia" w:ascii="宋体" w:hAnsi="宋体" w:cs="Segoe UI"/>
                <w:b/>
                <w:color w:val="333333"/>
                <w:kern w:val="0"/>
                <w:sz w:val="18"/>
                <w:szCs w:val="18"/>
              </w:rPr>
              <w:t>评分因素</w:t>
            </w:r>
          </w:p>
        </w:tc>
        <w:tc>
          <w:tcPr>
            <w:tcW w:w="4206" w:type="dxa"/>
            <w:noWrap w:val="0"/>
            <w:vAlign w:val="center"/>
          </w:tcPr>
          <w:p>
            <w:pPr>
              <w:widowControl/>
              <w:wordWrap w:val="0"/>
              <w:spacing w:line="240" w:lineRule="atLeast"/>
              <w:jc w:val="center"/>
              <w:rPr>
                <w:rFonts w:hint="eastAsia" w:ascii="宋体" w:hAnsi="宋体" w:cs="宋体"/>
                <w:kern w:val="0"/>
                <w:sz w:val="18"/>
                <w:szCs w:val="18"/>
                <w:lang w:bidi="ar"/>
              </w:rPr>
            </w:pPr>
            <w:r>
              <w:rPr>
                <w:rFonts w:hint="eastAsia" w:ascii="宋体" w:hAnsi="宋体" w:cs="Segoe UI"/>
                <w:b/>
                <w:color w:val="333333"/>
                <w:kern w:val="0"/>
                <w:sz w:val="18"/>
                <w:szCs w:val="18"/>
              </w:rPr>
              <w:t>分值</w:t>
            </w:r>
          </w:p>
        </w:tc>
        <w:tc>
          <w:tcPr>
            <w:tcW w:w="4322" w:type="dxa"/>
            <w:noWrap w:val="0"/>
            <w:vAlign w:val="center"/>
          </w:tcPr>
          <w:p>
            <w:pPr>
              <w:widowControl/>
              <w:wordWrap w:val="0"/>
              <w:spacing w:line="240" w:lineRule="atLeast"/>
              <w:jc w:val="center"/>
              <w:rPr>
                <w:rFonts w:ascii="宋体" w:hAnsi="宋体" w:cs="Segoe UI"/>
                <w:color w:val="000000"/>
                <w:kern w:val="0"/>
                <w:sz w:val="18"/>
                <w:szCs w:val="18"/>
                <w:lang w:val="en-US" w:eastAsia="zh-CN" w:bidi="ar-SA"/>
              </w:rPr>
            </w:pPr>
            <w:r>
              <w:rPr>
                <w:rFonts w:hint="eastAsia" w:ascii="宋体" w:hAnsi="宋体" w:cs="Segoe UI"/>
                <w:b/>
                <w:color w:val="333333"/>
                <w:kern w:val="0"/>
                <w:sz w:val="18"/>
                <w:szCs w:val="18"/>
              </w:rPr>
              <w:t>评分标准</w:t>
            </w: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21676"/>
      <w:bookmarkStart w:id="5" w:name="_Toc9234"/>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60"/>
      <w:bookmarkStart w:id="9" w:name="_Toc10689"/>
      <w:bookmarkStart w:id="10" w:name="_Toc14802"/>
      <w:bookmarkStart w:id="11" w:name="_Toc30275"/>
      <w:bookmarkStart w:id="12" w:name="_Toc5499"/>
      <w:bookmarkStart w:id="13" w:name="_Toc5208"/>
      <w:bookmarkStart w:id="14" w:name="_Toc12490"/>
      <w:bookmarkStart w:id="15" w:name="_Toc30494"/>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2214"/>
      <w:bookmarkStart w:id="17" w:name="_Toc13021"/>
      <w:bookmarkStart w:id="18" w:name="_Toc3912"/>
      <w:bookmarkStart w:id="19" w:name="_Toc9131"/>
      <w:bookmarkStart w:id="20" w:name="_Toc28103"/>
      <w:bookmarkStart w:id="21" w:name="_Toc7067"/>
      <w:bookmarkStart w:id="22" w:name="_Toc10948"/>
      <w:bookmarkStart w:id="23" w:name="_Toc30724"/>
      <w:bookmarkStart w:id="24" w:name="_Toc10183"/>
      <w:bookmarkStart w:id="25" w:name="_Toc3081"/>
      <w:bookmarkStart w:id="26" w:name="_Toc26481"/>
      <w:bookmarkStart w:id="27" w:name="_Toc19115"/>
      <w:bookmarkStart w:id="28" w:name="_Toc18879"/>
      <w:bookmarkStart w:id="29" w:name="_Toc18513"/>
      <w:bookmarkStart w:id="30" w:name="_Toc30080"/>
      <w:bookmarkStart w:id="31" w:name="_Toc3392"/>
      <w:bookmarkStart w:id="32" w:name="_Toc3447"/>
      <w:bookmarkStart w:id="33" w:name="_Toc871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22795"/>
      <w:bookmarkStart w:id="36" w:name="_Toc7249"/>
      <w:bookmarkStart w:id="37" w:name="_Toc23645"/>
      <w:bookmarkStart w:id="38" w:name="_Toc30920"/>
      <w:bookmarkStart w:id="39" w:name="_Toc10142"/>
      <w:bookmarkStart w:id="40" w:name="_Toc15196"/>
      <w:bookmarkStart w:id="41" w:name="_Toc18259"/>
      <w:bookmarkStart w:id="42" w:name="_Toc9042"/>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24117"/>
      <w:bookmarkStart w:id="47" w:name="_Toc19600"/>
      <w:bookmarkStart w:id="48" w:name="_Toc4775"/>
      <w:bookmarkStart w:id="49" w:name="_Toc21988"/>
      <w:bookmarkStart w:id="50" w:name="_Toc30083"/>
      <w:bookmarkStart w:id="51" w:name="_Toc25516"/>
      <w:bookmarkStart w:id="52" w:name="_Toc3534"/>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16666"/>
      <w:bookmarkStart w:id="56" w:name="_Toc16764"/>
      <w:bookmarkStart w:id="57" w:name="_Toc22198"/>
      <w:bookmarkStart w:id="58" w:name="_Toc691"/>
      <w:bookmarkStart w:id="59" w:name="_Toc21982"/>
      <w:bookmarkStart w:id="60" w:name="_Toc23192"/>
      <w:bookmarkStart w:id="61" w:name="_Toc14887"/>
      <w:bookmarkStart w:id="62" w:name="_Toc3494"/>
      <w:bookmarkStart w:id="63" w:name="_Toc32166"/>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371"/>
      <w:bookmarkStart w:id="66" w:name="_Toc22606"/>
      <w:bookmarkStart w:id="67" w:name="_Toc25068"/>
      <w:bookmarkStart w:id="68" w:name="_Toc4577"/>
      <w:bookmarkStart w:id="69" w:name="_Toc3943"/>
      <w:bookmarkStart w:id="70" w:name="_Toc11914"/>
      <w:bookmarkStart w:id="71" w:name="_Toc14269"/>
      <w:bookmarkStart w:id="72" w:name="_Toc9263"/>
      <w:bookmarkStart w:id="73" w:name="_Toc10013"/>
      <w:bookmarkStart w:id="74" w:name="_Toc5412"/>
      <w:bookmarkStart w:id="75" w:name="_Toc3158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316"/>
      <w:bookmarkStart w:id="78" w:name="_Toc31890"/>
      <w:bookmarkStart w:id="79" w:name="_Toc13267"/>
      <w:bookmarkStart w:id="80" w:name="_Toc3908"/>
      <w:bookmarkStart w:id="81" w:name="_Toc2937"/>
      <w:bookmarkStart w:id="82" w:name="_Toc17108"/>
      <w:bookmarkStart w:id="83" w:name="_Toc13677"/>
      <w:bookmarkStart w:id="84" w:name="_Toc10600"/>
      <w:bookmarkStart w:id="85" w:name="_Toc29190"/>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1313"/>
      <w:bookmarkStart w:id="89" w:name="_Toc24122"/>
      <w:bookmarkStart w:id="90" w:name="_Toc15916"/>
      <w:bookmarkStart w:id="91" w:name="_Toc31638"/>
      <w:bookmarkStart w:id="92" w:name="_Toc32365"/>
      <w:bookmarkStart w:id="93" w:name="_Toc21351"/>
      <w:bookmarkStart w:id="94" w:name="_Toc14252"/>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894"/>
      <w:bookmarkStart w:id="98" w:name="_Toc27985"/>
      <w:bookmarkStart w:id="99" w:name="_Toc26609"/>
      <w:bookmarkStart w:id="100" w:name="_Toc27948"/>
      <w:bookmarkStart w:id="101" w:name="_Toc23212"/>
      <w:bookmarkStart w:id="102" w:name="_Toc11278"/>
      <w:bookmarkStart w:id="103" w:name="_Toc9398"/>
      <w:bookmarkStart w:id="104" w:name="_Toc22760"/>
      <w:bookmarkStart w:id="105" w:name="_Toc18046"/>
      <w:bookmarkStart w:id="106" w:name="_Toc10583"/>
      <w:bookmarkStart w:id="107" w:name="_Toc15083"/>
      <w:bookmarkStart w:id="108" w:name="_Toc29215"/>
      <w:bookmarkStart w:id="109" w:name="_Toc1958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107"/>
      <w:bookmarkStart w:id="111" w:name="_Toc17204"/>
      <w:bookmarkStart w:id="112" w:name="_Toc24671"/>
      <w:bookmarkStart w:id="113" w:name="_Toc4116"/>
      <w:bookmarkStart w:id="114" w:name="_Toc27767"/>
      <w:bookmarkStart w:id="115" w:name="_Toc14546"/>
      <w:bookmarkStart w:id="116" w:name="_Toc757"/>
      <w:bookmarkStart w:id="117" w:name="_Toc24655"/>
      <w:bookmarkStart w:id="118" w:name="_Toc8348"/>
      <w:bookmarkStart w:id="119" w:name="_Toc8940"/>
      <w:bookmarkStart w:id="120" w:name="_Toc17741"/>
      <w:bookmarkStart w:id="121" w:name="_Toc29648"/>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5840"/>
      <w:bookmarkStart w:id="124" w:name="_Toc14781"/>
      <w:bookmarkStart w:id="125" w:name="_Toc12682"/>
      <w:bookmarkStart w:id="126" w:name="_Toc15917"/>
      <w:bookmarkStart w:id="127" w:name="_Toc8524"/>
      <w:bookmarkStart w:id="128" w:name="_Toc22243"/>
      <w:bookmarkStart w:id="129" w:name="_Toc10950"/>
      <w:bookmarkStart w:id="130" w:name="_Toc20745"/>
      <w:bookmarkStart w:id="131" w:name="_Toc2003"/>
      <w:bookmarkStart w:id="132" w:name="_Toc10308"/>
      <w:bookmarkStart w:id="133" w:name="_Toc10945"/>
      <w:bookmarkStart w:id="134" w:name="_Toc2428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E911C5D"/>
    <w:rsid w:val="10954EC2"/>
    <w:rsid w:val="12A81059"/>
    <w:rsid w:val="13485B4A"/>
    <w:rsid w:val="14456F80"/>
    <w:rsid w:val="195D2073"/>
    <w:rsid w:val="1A37043E"/>
    <w:rsid w:val="228C2840"/>
    <w:rsid w:val="2306229A"/>
    <w:rsid w:val="26D9225C"/>
    <w:rsid w:val="272816FC"/>
    <w:rsid w:val="28203DA9"/>
    <w:rsid w:val="2E811DD5"/>
    <w:rsid w:val="357C4381"/>
    <w:rsid w:val="364F4E7F"/>
    <w:rsid w:val="365344A5"/>
    <w:rsid w:val="38BB478A"/>
    <w:rsid w:val="396510AC"/>
    <w:rsid w:val="3ED3727D"/>
    <w:rsid w:val="405F3E1B"/>
    <w:rsid w:val="41EE0E8D"/>
    <w:rsid w:val="4669398D"/>
    <w:rsid w:val="48983A5D"/>
    <w:rsid w:val="4AE36A9A"/>
    <w:rsid w:val="4B7A520A"/>
    <w:rsid w:val="4C5E41EC"/>
    <w:rsid w:val="4EE10A0C"/>
    <w:rsid w:val="51CB3FD0"/>
    <w:rsid w:val="53914C7E"/>
    <w:rsid w:val="5536063D"/>
    <w:rsid w:val="55F211D3"/>
    <w:rsid w:val="56183BA8"/>
    <w:rsid w:val="577B25E6"/>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2024-05-09T03:36:20Z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