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w:t>
      </w:r>
      <w:r>
        <w:rPr>
          <w:rFonts w:hint="eastAsia" w:ascii="宋体" w:hAnsi="宋体" w:eastAsia="宋体" w:cs="宋体"/>
          <w:sz w:val="24"/>
          <w:szCs w:val="24"/>
          <w:lang w:val="en-US" w:eastAsia="zh-CN"/>
        </w:rPr>
        <w:t>5</w:t>
      </w:r>
      <w:r>
        <w:rPr>
          <w:rFonts w:ascii="宋体" w:hAnsi="宋体" w:eastAsia="宋体" w:cs="宋体"/>
          <w:sz w:val="24"/>
          <w:szCs w:val="24"/>
        </w:rPr>
        <w:t>-00</w:t>
      </w: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lang w:val="en-US" w:eastAsia="zh-CN"/>
        </w:rPr>
        <w:t>询</w:t>
      </w:r>
      <w:r>
        <w:rPr>
          <w:rFonts w:ascii="宋体" w:hAnsi="宋体" w:eastAsia="宋体" w:cs="宋体"/>
          <w:sz w:val="24"/>
          <w:szCs w:val="24"/>
        </w:rPr>
        <w:t>）</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1.85万元/年</w:t>
      </w:r>
    </w:p>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r>
        <w:rPr>
          <w:rFonts w:hint="eastAsia" w:ascii="宋体" w:hAnsi="宋体" w:eastAsia="宋体" w:cs="仿宋"/>
          <w:sz w:val="24"/>
          <w:szCs w:val="24"/>
        </w:rPr>
        <w:t>项目清单及技术要求：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464"/>
        <w:gridCol w:w="1092"/>
        <w:gridCol w:w="988"/>
        <w:gridCol w:w="980"/>
        <w:gridCol w:w="1556"/>
        <w:gridCol w:w="221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73" w:type="pct"/>
            <w:vMerge w:val="restart"/>
            <w:vAlign w:val="center"/>
          </w:tcPr>
          <w:p>
            <w:pPr>
              <w:jc w:val="center"/>
              <w:rPr>
                <w:rFonts w:ascii="宋体" w:hAnsi="宋体"/>
              </w:rPr>
            </w:pPr>
            <w:r>
              <w:rPr>
                <w:rFonts w:hint="eastAsia" w:ascii="宋体" w:hAnsi="宋体"/>
              </w:rPr>
              <w:t>采购</w:t>
            </w:r>
          </w:p>
          <w:p>
            <w:pPr>
              <w:jc w:val="center"/>
              <w:rPr>
                <w:rFonts w:ascii="宋体" w:hAnsi="宋体"/>
              </w:rPr>
            </w:pPr>
            <w:r>
              <w:rPr>
                <w:rFonts w:hint="eastAsia" w:ascii="宋体" w:hAnsi="宋体"/>
              </w:rPr>
              <w:t>内容</w:t>
            </w:r>
          </w:p>
        </w:tc>
        <w:tc>
          <w:tcPr>
            <w:tcW w:w="781" w:type="pct"/>
            <w:gridSpan w:val="2"/>
            <w:vAlign w:val="center"/>
          </w:tcPr>
          <w:p>
            <w:pPr>
              <w:jc w:val="center"/>
              <w:rPr>
                <w:rFonts w:ascii="宋体" w:hAnsi="宋体"/>
                <w:bCs/>
              </w:rPr>
            </w:pPr>
            <w:r>
              <w:rPr>
                <w:rFonts w:hint="eastAsia" w:ascii="宋体" w:hAnsi="宋体" w:cs="宋体"/>
                <w:bCs/>
              </w:rPr>
              <w:t>申购科室</w:t>
            </w:r>
          </w:p>
        </w:tc>
        <w:tc>
          <w:tcPr>
            <w:tcW w:w="988" w:type="pct"/>
            <w:gridSpan w:val="2"/>
            <w:vAlign w:val="center"/>
          </w:tcPr>
          <w:p>
            <w:pPr>
              <w:jc w:val="center"/>
              <w:rPr>
                <w:rFonts w:ascii="宋体" w:hAnsi="宋体"/>
                <w:bCs/>
              </w:rPr>
            </w:pPr>
            <w:r>
              <w:rPr>
                <w:rFonts w:hint="eastAsia" w:ascii="宋体" w:hAnsi="宋体" w:cs="宋体"/>
                <w:bCs/>
              </w:rPr>
              <w:t>项目名称</w:t>
            </w:r>
          </w:p>
        </w:tc>
        <w:tc>
          <w:tcPr>
            <w:tcW w:w="781" w:type="pct"/>
            <w:vAlign w:val="center"/>
          </w:tcPr>
          <w:p>
            <w:pPr>
              <w:jc w:val="center"/>
              <w:rPr>
                <w:rFonts w:ascii="宋体" w:hAnsi="宋体"/>
                <w:bCs/>
              </w:rPr>
            </w:pPr>
            <w:r>
              <w:rPr>
                <w:rFonts w:hint="eastAsia" w:ascii="宋体" w:hAnsi="宋体" w:cs="宋体"/>
                <w:bCs/>
              </w:rPr>
              <w:t>数量</w:t>
            </w:r>
          </w:p>
        </w:tc>
        <w:tc>
          <w:tcPr>
            <w:tcW w:w="1111" w:type="pct"/>
            <w:vAlign w:val="center"/>
          </w:tcPr>
          <w:p>
            <w:pPr>
              <w:jc w:val="center"/>
              <w:rPr>
                <w:rFonts w:ascii="宋体" w:hAnsi="宋体"/>
                <w:bCs/>
              </w:rPr>
            </w:pPr>
            <w:r>
              <w:rPr>
                <w:rFonts w:hint="eastAsia" w:ascii="宋体" w:hAnsi="宋体"/>
                <w:bCs/>
              </w:rPr>
              <w:t>预算单价</w:t>
            </w:r>
          </w:p>
        </w:tc>
        <w:tc>
          <w:tcPr>
            <w:tcW w:w="964" w:type="pct"/>
            <w:vAlign w:val="center"/>
          </w:tcPr>
          <w:p>
            <w:pPr>
              <w:jc w:val="center"/>
              <w:rPr>
                <w:rFonts w:ascii="宋体" w:hAnsi="宋体"/>
                <w:bCs/>
              </w:rPr>
            </w:pPr>
            <w:r>
              <w:rPr>
                <w:rFonts w:hint="eastAsia" w:ascii="宋体" w:hAnsi="宋体" w:cs="宋体"/>
                <w:bCs/>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3" w:type="pct"/>
            <w:vMerge w:val="continue"/>
            <w:vAlign w:val="center"/>
          </w:tcPr>
          <w:p>
            <w:pPr>
              <w:jc w:val="center"/>
              <w:rPr>
                <w:rFonts w:ascii="宋体" w:hAnsi="宋体"/>
              </w:rPr>
            </w:pPr>
          </w:p>
        </w:tc>
        <w:tc>
          <w:tcPr>
            <w:tcW w:w="781" w:type="pct"/>
            <w:gridSpan w:val="2"/>
            <w:vAlign w:val="center"/>
          </w:tcPr>
          <w:p>
            <w:pPr>
              <w:jc w:val="center"/>
              <w:rPr>
                <w:rFonts w:ascii="宋体" w:hAnsi="宋体"/>
              </w:rPr>
            </w:pPr>
            <w:r>
              <w:rPr>
                <w:rFonts w:hint="eastAsia" w:ascii="宋体" w:hAnsi="宋体"/>
              </w:rPr>
              <w:t>乳腺甲状腺专科</w:t>
            </w:r>
          </w:p>
        </w:tc>
        <w:tc>
          <w:tcPr>
            <w:tcW w:w="988" w:type="pct"/>
            <w:gridSpan w:val="2"/>
            <w:vAlign w:val="center"/>
          </w:tcPr>
          <w:p>
            <w:pPr>
              <w:jc w:val="center"/>
              <w:rPr>
                <w:rFonts w:ascii="宋体" w:hAnsi="宋体"/>
              </w:rPr>
            </w:pPr>
            <w:r>
              <w:rPr>
                <w:rFonts w:hint="eastAsia" w:ascii="宋体" w:hAnsi="宋体"/>
              </w:rPr>
              <w:t>一次性连发钛夹、腹壁疝补片</w:t>
            </w:r>
          </w:p>
        </w:tc>
        <w:tc>
          <w:tcPr>
            <w:tcW w:w="1892" w:type="pct"/>
            <w:gridSpan w:val="2"/>
            <w:vAlign w:val="center"/>
          </w:tcPr>
          <w:p>
            <w:pPr>
              <w:jc w:val="center"/>
              <w:rPr>
                <w:rFonts w:ascii="宋体" w:hAnsi="宋体"/>
              </w:rPr>
            </w:pPr>
            <w:r>
              <w:rPr>
                <w:rFonts w:hint="eastAsia" w:ascii="宋体" w:hAnsi="宋体"/>
              </w:rPr>
              <w:t>详见技术参数</w:t>
            </w:r>
          </w:p>
        </w:tc>
        <w:tc>
          <w:tcPr>
            <w:tcW w:w="964" w:type="pct"/>
            <w:vAlign w:val="center"/>
          </w:tcPr>
          <w:p>
            <w:pPr>
              <w:jc w:val="center"/>
              <w:rPr>
                <w:rFonts w:ascii="宋体" w:hAnsi="宋体"/>
              </w:rPr>
            </w:pPr>
            <w:r>
              <w:rPr>
                <w:rFonts w:hint="eastAsia" w:ascii="宋体" w:hAnsi="宋体"/>
                <w:lang w:val="en-US" w:eastAsia="zh-CN"/>
              </w:rPr>
              <w:t>1</w:t>
            </w:r>
            <w:r>
              <w:rPr>
                <w:rFonts w:hint="eastAsia" w:ascii="宋体" w:hAnsi="宋体"/>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3" w:type="pct"/>
            <w:vMerge w:val="restart"/>
            <w:vAlign w:val="center"/>
          </w:tcPr>
          <w:p>
            <w:pPr>
              <w:spacing w:line="420" w:lineRule="exact"/>
              <w:jc w:val="center"/>
              <w:rPr>
                <w:rFonts w:cs="宋体"/>
                <w:color w:val="000000"/>
                <w:kern w:val="0"/>
              </w:rPr>
            </w:pPr>
            <w:r>
              <w:rPr>
                <w:rFonts w:hint="eastAsia" w:cs="宋体"/>
                <w:color w:val="000000"/>
                <w:kern w:val="0"/>
              </w:rPr>
              <w:t>项目清单及</w:t>
            </w:r>
          </w:p>
          <w:p>
            <w:pPr>
              <w:spacing w:line="420" w:lineRule="exact"/>
              <w:jc w:val="center"/>
              <w:rPr>
                <w:rFonts w:cs="宋体"/>
                <w:color w:val="000000"/>
                <w:kern w:val="0"/>
              </w:rPr>
            </w:pPr>
            <w:r>
              <w:rPr>
                <w:rFonts w:hint="eastAsia" w:cs="宋体"/>
                <w:color w:val="000000"/>
                <w:kern w:val="0"/>
              </w:rPr>
              <w:t>技术参数</w:t>
            </w:r>
          </w:p>
        </w:tc>
        <w:tc>
          <w:tcPr>
            <w:tcW w:w="233" w:type="pct"/>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48"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96" w:type="pct"/>
            <w:vAlign w:val="center"/>
          </w:tcPr>
          <w:p>
            <w:pPr>
              <w:autoSpaceDE w:val="0"/>
              <w:autoSpaceDN w:val="0"/>
              <w:jc w:val="center"/>
              <w:rPr>
                <w:rFonts w:ascii="宋体" w:hAnsi="宋体"/>
                <w:b/>
                <w:sz w:val="18"/>
                <w:szCs w:val="18"/>
              </w:rPr>
            </w:pPr>
            <w:r>
              <w:rPr>
                <w:rFonts w:hint="eastAsia" w:ascii="宋体" w:hAnsi="宋体"/>
                <w:b/>
                <w:sz w:val="18"/>
                <w:szCs w:val="18"/>
              </w:rPr>
              <w:t>预算单价</w:t>
            </w:r>
          </w:p>
        </w:tc>
        <w:tc>
          <w:tcPr>
            <w:tcW w:w="492"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2857" w:type="pct"/>
            <w:gridSpan w:val="3"/>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73" w:type="pct"/>
            <w:vMerge w:val="continue"/>
            <w:vAlign w:val="center"/>
          </w:tcPr>
          <w:p>
            <w:pPr>
              <w:spacing w:line="420" w:lineRule="exact"/>
              <w:jc w:val="center"/>
              <w:rPr>
                <w:rFonts w:cs="宋体"/>
                <w:color w:val="000000"/>
                <w:kern w:val="0"/>
              </w:rPr>
            </w:pPr>
          </w:p>
        </w:tc>
        <w:tc>
          <w:tcPr>
            <w:tcW w:w="233" w:type="pct"/>
            <w:vAlign w:val="center"/>
          </w:tcPr>
          <w:p>
            <w:pPr>
              <w:autoSpaceDE w:val="0"/>
              <w:autoSpaceDN w:val="0"/>
              <w:jc w:val="center"/>
              <w:rPr>
                <w:rFonts w:ascii="宋体" w:hAnsi="宋体"/>
              </w:rPr>
            </w:pPr>
            <w:r>
              <w:rPr>
                <w:rFonts w:hint="eastAsia" w:ascii="宋体" w:hAnsi="宋体"/>
              </w:rPr>
              <w:t>1</w:t>
            </w:r>
          </w:p>
        </w:tc>
        <w:tc>
          <w:tcPr>
            <w:tcW w:w="548" w:type="pct"/>
            <w:vAlign w:val="center"/>
          </w:tcPr>
          <w:p>
            <w:pPr>
              <w:widowControl/>
              <w:jc w:val="center"/>
              <w:textAlignment w:val="center"/>
              <w:rPr>
                <w:rFonts w:ascii="宋体" w:hAnsi="宋体" w:cs="宋体"/>
                <w:color w:val="000000"/>
              </w:rPr>
            </w:pPr>
            <w:r>
              <w:rPr>
                <w:rFonts w:ascii="宋体" w:hAnsi="宋体" w:cs="宋体"/>
                <w:color w:val="000000"/>
              </w:rPr>
              <w:t>一次性连发钛夹</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rPr>
              <w:t>1400元</w:t>
            </w:r>
          </w:p>
        </w:tc>
        <w:tc>
          <w:tcPr>
            <w:tcW w:w="492" w:type="pct"/>
            <w:vAlign w:val="center"/>
          </w:tcPr>
          <w:p>
            <w:pPr>
              <w:widowControl/>
              <w:jc w:val="center"/>
              <w:textAlignment w:val="center"/>
              <w:rPr>
                <w:rFonts w:ascii="宋体" w:hAnsi="宋体" w:cs="宋体"/>
                <w:color w:val="000000"/>
              </w:rPr>
            </w:pPr>
            <w:r>
              <w:rPr>
                <w:rFonts w:hint="eastAsia" w:ascii="宋体" w:hAnsi="宋体" w:cs="宋体"/>
                <w:color w:val="000000"/>
              </w:rPr>
              <w:t>10把</w:t>
            </w:r>
          </w:p>
        </w:tc>
        <w:tc>
          <w:tcPr>
            <w:tcW w:w="2857" w:type="pct"/>
            <w:gridSpan w:val="3"/>
          </w:tcPr>
          <w:p>
            <w:pPr>
              <w:pStyle w:val="2"/>
              <w:numPr>
                <w:ilvl w:val="0"/>
                <w:numId w:val="2"/>
              </w:numPr>
              <w:rPr>
                <w:rFonts w:ascii="宋体" w:hAnsi="宋体" w:cs="宋体"/>
                <w:color w:val="000000"/>
              </w:rPr>
            </w:pPr>
            <w:r>
              <w:rPr>
                <w:rFonts w:hint="eastAsia" w:ascii="宋体" w:hAnsi="宋体" w:cs="宋体"/>
                <w:color w:val="000000"/>
              </w:rPr>
              <w:t>用于外科手术关闭血管及管腔结构，部分神经切除，和影像学定位。</w:t>
            </w:r>
          </w:p>
          <w:p>
            <w:pPr>
              <w:pStyle w:val="2"/>
              <w:numPr>
                <w:ilvl w:val="0"/>
                <w:numId w:val="2"/>
              </w:numPr>
            </w:pPr>
            <w:r>
              <w:rPr>
                <w:rFonts w:hint="eastAsia" w:ascii="宋体" w:hAnsi="宋体" w:cs="宋体"/>
                <w:color w:val="000000"/>
              </w:rPr>
              <w:t>包含钛夹个数不少于15枚</w:t>
            </w:r>
            <w:r>
              <w:rPr>
                <w:rFonts w:hint="eastAsia" w:ascii="宋体" w:hAnsi="宋体" w:cs="宋体"/>
                <w:color w:val="000000"/>
                <w:lang w:eastAsia="zh-CN"/>
              </w:rPr>
              <w:t>。</w:t>
            </w:r>
          </w:p>
          <w:p>
            <w:pPr>
              <w:pStyle w:val="2"/>
              <w:numPr>
                <w:ilvl w:val="0"/>
                <w:numId w:val="2"/>
              </w:numPr>
            </w:pPr>
            <w:r>
              <w:rPr>
                <w:rFonts w:hint="eastAsia" w:ascii="宋体" w:hAnsi="宋体" w:cs="宋体"/>
                <w:color w:val="000000"/>
              </w:rPr>
              <w:t>可以切换自动及手动激发钛夹</w:t>
            </w:r>
            <w:r>
              <w:rPr>
                <w:rFonts w:hint="eastAsia" w:ascii="宋体" w:hAnsi="宋体" w:cs="宋体"/>
                <w:color w:val="000000"/>
                <w:lang w:eastAsia="zh-CN"/>
              </w:rPr>
              <w:t>。</w:t>
            </w:r>
          </w:p>
          <w:p>
            <w:pPr>
              <w:pStyle w:val="2"/>
              <w:numPr>
                <w:ilvl w:val="0"/>
                <w:numId w:val="2"/>
              </w:numPr>
            </w:pPr>
            <w:r>
              <w:rPr>
                <w:rFonts w:hint="eastAsia" w:ascii="宋体" w:hAnsi="宋体" w:cs="宋体"/>
                <w:color w:val="000000"/>
              </w:rPr>
              <w:t>可以提示钛夹使用数量及用完提示。</w:t>
            </w:r>
          </w:p>
          <w:p>
            <w:pPr>
              <w:pStyle w:val="2"/>
              <w:numPr>
                <w:ilvl w:val="0"/>
                <w:numId w:val="2"/>
              </w:numPr>
            </w:pPr>
            <w:r>
              <w:rPr>
                <w:rFonts w:hint="eastAsia" w:ascii="宋体" w:hAnsi="宋体" w:cs="宋体"/>
                <w:color w:val="000000"/>
              </w:rPr>
              <w:t>闭合钛夹钉长度不小于6mm，为开放手术使用，非腔镜手术。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373" w:type="pct"/>
            <w:vMerge w:val="continue"/>
            <w:vAlign w:val="center"/>
          </w:tcPr>
          <w:p>
            <w:pPr>
              <w:spacing w:line="420" w:lineRule="exact"/>
              <w:jc w:val="center"/>
              <w:rPr>
                <w:rFonts w:cs="宋体"/>
                <w:color w:val="000000"/>
                <w:kern w:val="0"/>
              </w:rPr>
            </w:pPr>
          </w:p>
        </w:tc>
        <w:tc>
          <w:tcPr>
            <w:tcW w:w="233" w:type="pct"/>
            <w:vAlign w:val="center"/>
          </w:tcPr>
          <w:p>
            <w:pPr>
              <w:autoSpaceDE w:val="0"/>
              <w:autoSpaceDN w:val="0"/>
              <w:jc w:val="center"/>
              <w:rPr>
                <w:rFonts w:ascii="宋体" w:hAnsi="宋体"/>
              </w:rPr>
            </w:pPr>
            <w:r>
              <w:rPr>
                <w:rFonts w:hint="eastAsia" w:ascii="宋体" w:hAnsi="宋体"/>
              </w:rPr>
              <w:t>2</w:t>
            </w:r>
          </w:p>
        </w:tc>
        <w:tc>
          <w:tcPr>
            <w:tcW w:w="548" w:type="pct"/>
            <w:vAlign w:val="center"/>
          </w:tcPr>
          <w:p>
            <w:pPr>
              <w:widowControl/>
              <w:jc w:val="center"/>
              <w:textAlignment w:val="center"/>
              <w:rPr>
                <w:rFonts w:ascii="宋体" w:hAnsi="宋体" w:cs="宋体"/>
                <w:color w:val="000000"/>
              </w:rPr>
            </w:pPr>
            <w:r>
              <w:rPr>
                <w:rFonts w:ascii="宋体" w:hAnsi="宋体" w:cs="宋体"/>
                <w:color w:val="000000"/>
              </w:rPr>
              <w:t>腹壁疝补片</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rPr>
              <w:t>900元</w:t>
            </w:r>
          </w:p>
        </w:tc>
        <w:tc>
          <w:tcPr>
            <w:tcW w:w="492" w:type="pct"/>
            <w:vAlign w:val="center"/>
          </w:tcPr>
          <w:p>
            <w:pPr>
              <w:widowControl/>
              <w:jc w:val="center"/>
              <w:textAlignment w:val="center"/>
              <w:rPr>
                <w:rFonts w:ascii="宋体" w:hAnsi="宋体" w:cs="宋体"/>
                <w:color w:val="000000"/>
              </w:rPr>
            </w:pPr>
            <w:r>
              <w:rPr>
                <w:rFonts w:hint="eastAsia" w:ascii="宋体" w:hAnsi="宋体" w:cs="宋体"/>
                <w:color w:val="000000"/>
              </w:rPr>
              <w:t>5片</w:t>
            </w:r>
          </w:p>
        </w:tc>
        <w:tc>
          <w:tcPr>
            <w:tcW w:w="2857" w:type="pct"/>
            <w:gridSpan w:val="3"/>
          </w:tcPr>
          <w:p>
            <w:pPr>
              <w:pStyle w:val="2"/>
              <w:numPr>
                <w:ilvl w:val="0"/>
                <w:numId w:val="3"/>
              </w:numPr>
              <w:rPr>
                <w:rFonts w:hint="eastAsia" w:ascii="宋体" w:hAnsi="宋体" w:cs="宋体"/>
                <w:color w:val="000000"/>
              </w:rPr>
            </w:pPr>
            <w:r>
              <w:rPr>
                <w:rFonts w:hint="eastAsia" w:ascii="宋体" w:hAnsi="宋体" w:cs="宋体"/>
                <w:color w:val="000000"/>
              </w:rPr>
              <w:t>腹腔外置疝修补补片，适用于腹壁切口疝及腹股沟疝修补</w:t>
            </w:r>
            <w:r>
              <w:rPr>
                <w:rFonts w:hint="eastAsia" w:ascii="宋体" w:hAnsi="宋体" w:cs="宋体"/>
                <w:color w:val="000000"/>
                <w:lang w:eastAsia="zh-CN"/>
              </w:rPr>
              <w:t>。</w:t>
            </w:r>
          </w:p>
          <w:p>
            <w:pPr>
              <w:pStyle w:val="2"/>
              <w:numPr>
                <w:ilvl w:val="0"/>
                <w:numId w:val="3"/>
              </w:numPr>
              <w:ind w:left="0" w:leftChars="0" w:firstLine="0" w:firstLineChars="0"/>
              <w:rPr>
                <w:rFonts w:hint="eastAsia" w:ascii="宋体" w:hAnsi="宋体" w:cs="宋体"/>
                <w:color w:val="000000"/>
              </w:rPr>
            </w:pPr>
            <w:r>
              <w:rPr>
                <w:rFonts w:hint="eastAsia" w:ascii="宋体" w:hAnsi="宋体" w:cs="宋体"/>
                <w:color w:val="000000"/>
              </w:rPr>
              <w:t>矩形补片，长度至少是15*15cm。</w:t>
            </w:r>
          </w:p>
          <w:p>
            <w:pPr>
              <w:pStyle w:val="2"/>
              <w:numPr>
                <w:ilvl w:val="0"/>
                <w:numId w:val="3"/>
              </w:numPr>
              <w:ind w:left="0" w:leftChars="0" w:firstLine="0" w:firstLineChars="0"/>
            </w:pPr>
            <w:r>
              <w:rPr>
                <w:rFonts w:hint="eastAsia" w:ascii="宋体" w:hAnsi="宋体" w:cs="宋体"/>
                <w:color w:val="000000"/>
              </w:rPr>
              <w:t>一次性使用</w:t>
            </w:r>
            <w:r>
              <w:rPr>
                <w:rFonts w:hint="eastAsia" w:ascii="宋体" w:hAnsi="宋体" w:cs="宋体"/>
                <w:color w:val="000000"/>
                <w:lang w:eastAsia="zh-CN"/>
              </w:rPr>
              <w:t>。</w:t>
            </w:r>
          </w:p>
          <w:p>
            <w:pPr>
              <w:pStyle w:val="2"/>
              <w:numPr>
                <w:ilvl w:val="0"/>
                <w:numId w:val="3"/>
              </w:numPr>
              <w:ind w:left="0" w:leftChars="0" w:firstLine="0" w:firstLineChars="0"/>
            </w:pPr>
            <w:r>
              <w:rPr>
                <w:rFonts w:hint="eastAsia" w:ascii="宋体" w:hAnsi="宋体" w:cs="宋体"/>
                <w:color w:val="000000"/>
              </w:rPr>
              <w:t>聚丙烯补片</w:t>
            </w:r>
            <w:r>
              <w:rPr>
                <w:rFonts w:hint="eastAsia" w:ascii="宋体" w:hAnsi="宋体" w:cs="宋体"/>
                <w:color w:val="000000"/>
                <w:lang w:eastAsia="zh-CN"/>
              </w:rPr>
              <w:t>。</w:t>
            </w:r>
          </w:p>
        </w:tc>
      </w:tr>
      <w:bookmarkEnd w:id="0"/>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w:t>
      </w:r>
      <w:bookmarkStart w:id="134" w:name="_GoBack"/>
      <w:bookmarkEnd w:id="134"/>
      <w:r>
        <w:rPr>
          <w:rFonts w:hint="eastAsia" w:ascii="仿宋_GB2312" w:hAnsi="Segoe UI" w:eastAsia="仿宋_GB2312" w:cs="Segoe UI"/>
          <w:color w:val="000000" w:themeColor="text1"/>
          <w:spacing w:val="8"/>
          <w:kern w:val="0"/>
          <w:sz w:val="24"/>
          <w:szCs w:val="24"/>
        </w:rPr>
        <w:t>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1" w:name="_Toc15614"/>
      <w:bookmarkStart w:id="2" w:name="_Toc9234"/>
      <w:bookmarkStart w:id="3" w:name="_Toc3414"/>
      <w:bookmarkStart w:id="4" w:name="_Toc21676"/>
      <w:bookmarkStart w:id="5" w:name="_Toc21163"/>
      <w:r>
        <w:rPr>
          <w:rFonts w:hint="eastAsia" w:ascii="仿宋" w:hAnsi="仿宋" w:eastAsia="仿宋" w:cs="仿宋"/>
          <w:w w:val="95"/>
        </w:rPr>
        <w:t>承诺函</w:t>
      </w:r>
      <w:bookmarkEnd w:id="1"/>
      <w:bookmarkEnd w:id="2"/>
      <w:bookmarkEnd w:id="3"/>
      <w:bookmarkEnd w:id="4"/>
      <w:bookmarkEnd w:id="5"/>
    </w:p>
    <w:p>
      <w:pPr>
        <w:spacing w:line="360" w:lineRule="auto"/>
        <w:outlineLvl w:val="1"/>
        <w:rPr>
          <w:rFonts w:hint="eastAsia" w:ascii="仿宋" w:hAnsi="仿宋" w:eastAsia="仿宋" w:cs="仿宋"/>
          <w:sz w:val="22"/>
        </w:rPr>
      </w:pPr>
      <w:bookmarkStart w:id="6" w:name="_Toc30494"/>
      <w:bookmarkStart w:id="7" w:name="_Toc5499"/>
      <w:bookmarkStart w:id="8" w:name="_Toc60"/>
      <w:bookmarkStart w:id="9" w:name="_Toc11076"/>
      <w:bookmarkStart w:id="10" w:name="_Toc10689"/>
      <w:bookmarkStart w:id="11" w:name="_Toc5208"/>
      <w:bookmarkStart w:id="12" w:name="_Toc14802"/>
      <w:bookmarkStart w:id="13" w:name="_Toc12490"/>
      <w:bookmarkStart w:id="14" w:name="_Toc30275"/>
      <w:r>
        <w:rPr>
          <w:rFonts w:hint="eastAsia" w:ascii="仿宋" w:hAnsi="仿宋" w:eastAsia="仿宋" w:cs="仿宋"/>
          <w:sz w:val="22"/>
        </w:rPr>
        <w:t>致：</w:t>
      </w:r>
      <w:bookmarkEnd w:id="6"/>
      <w:bookmarkEnd w:id="7"/>
      <w:bookmarkEnd w:id="8"/>
      <w:bookmarkEnd w:id="9"/>
      <w:bookmarkEnd w:id="10"/>
      <w:bookmarkEnd w:id="11"/>
      <w:bookmarkEnd w:id="12"/>
      <w:bookmarkEnd w:id="13"/>
      <w:bookmarkEnd w:id="14"/>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5" w:name="_Toc10948"/>
      <w:bookmarkStart w:id="16" w:name="_Toc26481"/>
      <w:bookmarkStart w:id="17" w:name="_Toc7067"/>
      <w:bookmarkStart w:id="18" w:name="_Toc13021"/>
      <w:bookmarkStart w:id="19" w:name="_Toc3912"/>
      <w:bookmarkStart w:id="20" w:name="_Toc3081"/>
      <w:bookmarkStart w:id="21" w:name="_Toc9131"/>
      <w:bookmarkStart w:id="22" w:name="_Toc32214"/>
      <w:bookmarkStart w:id="23" w:name="_Toc28103"/>
      <w:bookmarkStart w:id="24" w:name="_Toc10183"/>
      <w:bookmarkStart w:id="25" w:name="_Toc30724"/>
      <w:bookmarkStart w:id="26" w:name="_Toc3447"/>
      <w:bookmarkStart w:id="27" w:name="_Toc30080"/>
      <w:bookmarkStart w:id="28" w:name="_Toc8717"/>
      <w:bookmarkStart w:id="29" w:name="_Toc18513"/>
      <w:bookmarkStart w:id="30" w:name="_Toc18879"/>
      <w:bookmarkStart w:id="31" w:name="_Toc19115"/>
      <w:bookmarkStart w:id="32" w:name="_Toc3392"/>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5"/>
      <w:bookmarkEnd w:id="16"/>
      <w:bookmarkEnd w:id="17"/>
      <w:bookmarkEnd w:id="18"/>
      <w:bookmarkEnd w:id="19"/>
      <w:bookmarkEnd w:id="20"/>
      <w:bookmarkEnd w:id="21"/>
      <w:bookmarkEnd w:id="22"/>
      <w:bookmarkEnd w:id="23"/>
      <w:bookmarkEnd w:id="24"/>
      <w:bookmarkEnd w:id="25"/>
    </w:p>
    <w:bookmarkEnd w:id="26"/>
    <w:bookmarkEnd w:id="27"/>
    <w:bookmarkEnd w:id="28"/>
    <w:bookmarkEnd w:id="29"/>
    <w:bookmarkEnd w:id="30"/>
    <w:bookmarkEnd w:id="31"/>
    <w:bookmarkEnd w:id="32"/>
    <w:p>
      <w:pPr>
        <w:spacing w:line="440" w:lineRule="exact"/>
        <w:ind w:firstLine="440" w:firstLineChars="200"/>
        <w:outlineLvl w:val="1"/>
        <w:rPr>
          <w:rFonts w:hint="eastAsia" w:ascii="仿宋" w:hAnsi="仿宋" w:eastAsia="仿宋" w:cs="仿宋"/>
          <w:sz w:val="22"/>
        </w:rPr>
      </w:pPr>
      <w:bookmarkStart w:id="33" w:name="_Toc15196"/>
      <w:bookmarkStart w:id="34" w:name="_Toc22795"/>
      <w:bookmarkStart w:id="35" w:name="_Toc30649"/>
      <w:bookmarkStart w:id="36" w:name="_Toc9042"/>
      <w:bookmarkStart w:id="37" w:name="_Toc7249"/>
      <w:bookmarkStart w:id="38" w:name="_Toc23645"/>
      <w:bookmarkStart w:id="39" w:name="_Toc18259"/>
      <w:bookmarkStart w:id="40" w:name="_Toc10142"/>
      <w:bookmarkStart w:id="41" w:name="_Toc30920"/>
      <w:bookmarkStart w:id="42" w:name="_Toc23557"/>
      <w:bookmarkStart w:id="43"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3"/>
      <w:bookmarkEnd w:id="34"/>
      <w:bookmarkEnd w:id="35"/>
      <w:bookmarkEnd w:id="36"/>
      <w:bookmarkEnd w:id="37"/>
      <w:bookmarkEnd w:id="38"/>
      <w:bookmarkEnd w:id="39"/>
      <w:bookmarkEnd w:id="40"/>
      <w:bookmarkEnd w:id="41"/>
    </w:p>
    <w:p>
      <w:pPr>
        <w:spacing w:line="440" w:lineRule="exact"/>
        <w:ind w:firstLine="440" w:firstLineChars="200"/>
        <w:outlineLvl w:val="1"/>
        <w:rPr>
          <w:rFonts w:hint="eastAsia" w:ascii="仿宋" w:hAnsi="仿宋" w:eastAsia="仿宋" w:cs="仿宋"/>
          <w:sz w:val="22"/>
        </w:rPr>
      </w:pPr>
      <w:bookmarkStart w:id="44" w:name="_Toc30083"/>
      <w:bookmarkStart w:id="45" w:name="_Toc3004"/>
      <w:bookmarkStart w:id="46" w:name="_Toc25516"/>
      <w:bookmarkStart w:id="47" w:name="_Toc21988"/>
      <w:bookmarkStart w:id="48" w:name="_Toc26548"/>
      <w:bookmarkStart w:id="49" w:name="_Toc24117"/>
      <w:bookmarkStart w:id="50" w:name="_Toc3534"/>
      <w:bookmarkStart w:id="51" w:name="_Toc19600"/>
      <w:bookmarkStart w:id="52"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2"/>
      <w:bookmarkEnd w:id="43"/>
      <w:bookmarkEnd w:id="44"/>
      <w:bookmarkEnd w:id="45"/>
      <w:bookmarkEnd w:id="46"/>
      <w:bookmarkEnd w:id="47"/>
      <w:bookmarkEnd w:id="48"/>
      <w:bookmarkEnd w:id="49"/>
      <w:bookmarkEnd w:id="50"/>
      <w:bookmarkEnd w:id="51"/>
      <w:bookmarkEnd w:id="52"/>
    </w:p>
    <w:p>
      <w:pPr>
        <w:spacing w:line="440" w:lineRule="exact"/>
        <w:ind w:firstLine="440" w:firstLineChars="200"/>
        <w:outlineLvl w:val="1"/>
        <w:rPr>
          <w:rFonts w:hint="eastAsia" w:ascii="仿宋" w:hAnsi="仿宋" w:eastAsia="仿宋" w:cs="仿宋"/>
          <w:sz w:val="22"/>
        </w:rPr>
      </w:pPr>
      <w:bookmarkStart w:id="53" w:name="_Toc14887"/>
      <w:bookmarkStart w:id="54" w:name="_Toc12333"/>
      <w:bookmarkStart w:id="55" w:name="_Toc21982"/>
      <w:bookmarkStart w:id="56" w:name="_Toc16666"/>
      <w:bookmarkStart w:id="57" w:name="_Toc27376"/>
      <w:bookmarkStart w:id="58" w:name="_Toc691"/>
      <w:bookmarkStart w:id="59" w:name="_Toc3494"/>
      <w:bookmarkStart w:id="60" w:name="_Toc22198"/>
      <w:bookmarkStart w:id="61" w:name="_Toc32166"/>
      <w:bookmarkStart w:id="62" w:name="_Toc16764"/>
      <w:bookmarkStart w:id="63" w:name="_Toc2319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3"/>
      <w:bookmarkEnd w:id="54"/>
      <w:bookmarkEnd w:id="55"/>
      <w:bookmarkEnd w:id="56"/>
      <w:bookmarkEnd w:id="57"/>
      <w:bookmarkEnd w:id="58"/>
      <w:bookmarkEnd w:id="59"/>
      <w:bookmarkEnd w:id="60"/>
      <w:bookmarkEnd w:id="61"/>
      <w:bookmarkEnd w:id="62"/>
      <w:bookmarkEnd w:id="63"/>
    </w:p>
    <w:p>
      <w:pPr>
        <w:spacing w:line="440" w:lineRule="exact"/>
        <w:ind w:firstLine="440" w:firstLineChars="200"/>
        <w:outlineLvl w:val="1"/>
        <w:rPr>
          <w:rFonts w:hint="eastAsia" w:ascii="仿宋" w:hAnsi="仿宋" w:eastAsia="仿宋" w:cs="仿宋"/>
          <w:sz w:val="22"/>
        </w:rPr>
      </w:pPr>
      <w:bookmarkStart w:id="64" w:name="_Toc3943"/>
      <w:bookmarkStart w:id="65" w:name="_Toc1371"/>
      <w:bookmarkStart w:id="66" w:name="_Toc9263"/>
      <w:bookmarkStart w:id="67" w:name="_Toc5412"/>
      <w:bookmarkStart w:id="68" w:name="_Toc10013"/>
      <w:bookmarkStart w:id="69" w:name="_Toc4577"/>
      <w:bookmarkStart w:id="70" w:name="_Toc25068"/>
      <w:bookmarkStart w:id="71" w:name="_Toc11914"/>
      <w:bookmarkStart w:id="72" w:name="_Toc31581"/>
      <w:bookmarkStart w:id="73" w:name="_Toc22606"/>
      <w:bookmarkStart w:id="74" w:name="_Toc14269"/>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4"/>
      <w:bookmarkEnd w:id="65"/>
      <w:bookmarkEnd w:id="66"/>
      <w:bookmarkEnd w:id="67"/>
      <w:bookmarkEnd w:id="68"/>
      <w:bookmarkEnd w:id="69"/>
      <w:bookmarkEnd w:id="70"/>
      <w:bookmarkEnd w:id="71"/>
      <w:bookmarkEnd w:id="72"/>
      <w:bookmarkEnd w:id="73"/>
      <w:bookmarkEnd w:id="74"/>
    </w:p>
    <w:p>
      <w:pPr>
        <w:spacing w:line="440" w:lineRule="exact"/>
        <w:ind w:firstLine="440" w:firstLineChars="200"/>
        <w:outlineLvl w:val="1"/>
        <w:rPr>
          <w:rFonts w:hint="eastAsia" w:ascii="仿宋" w:hAnsi="仿宋" w:eastAsia="仿宋" w:cs="仿宋"/>
          <w:sz w:val="22"/>
        </w:rPr>
      </w:pPr>
      <w:bookmarkStart w:id="75" w:name="_Toc31890"/>
      <w:bookmarkStart w:id="76" w:name="_Toc18935"/>
      <w:bookmarkStart w:id="77" w:name="_Toc17108"/>
      <w:bookmarkStart w:id="78" w:name="_Toc2937"/>
      <w:bookmarkStart w:id="79" w:name="_Toc3908"/>
      <w:bookmarkStart w:id="80" w:name="_Toc10600"/>
      <w:bookmarkStart w:id="81" w:name="_Toc2316"/>
      <w:bookmarkStart w:id="82" w:name="_Toc13267"/>
      <w:bookmarkStart w:id="83" w:name="_Toc13677"/>
      <w:bookmarkStart w:id="84" w:name="_Toc11489"/>
      <w:bookmarkStart w:id="85" w:name="_Toc291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5"/>
      <w:bookmarkEnd w:id="76"/>
      <w:bookmarkEnd w:id="77"/>
      <w:bookmarkEnd w:id="78"/>
      <w:bookmarkEnd w:id="79"/>
      <w:bookmarkEnd w:id="80"/>
      <w:bookmarkEnd w:id="81"/>
      <w:bookmarkEnd w:id="82"/>
      <w:bookmarkEnd w:id="83"/>
      <w:bookmarkEnd w:id="84"/>
      <w:bookmarkEnd w:id="8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6" w:name="_Toc12088"/>
      <w:bookmarkStart w:id="87" w:name="_Toc31638"/>
      <w:bookmarkStart w:id="88" w:name="_Toc26756"/>
      <w:bookmarkStart w:id="89" w:name="_Toc21351"/>
      <w:bookmarkStart w:id="90" w:name="_Toc14252"/>
      <w:bookmarkStart w:id="91" w:name="_Toc15916"/>
      <w:bookmarkStart w:id="92" w:name="_Toc32365"/>
      <w:bookmarkStart w:id="93" w:name="_Toc1313"/>
      <w:bookmarkStart w:id="94" w:name="_Toc2412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6"/>
      <w:bookmarkEnd w:id="87"/>
      <w:bookmarkEnd w:id="88"/>
      <w:bookmarkEnd w:id="89"/>
      <w:bookmarkEnd w:id="90"/>
      <w:bookmarkEnd w:id="91"/>
      <w:bookmarkEnd w:id="92"/>
      <w:bookmarkEnd w:id="93"/>
      <w:bookmarkEnd w:id="94"/>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5" w:name="_Toc28267"/>
    </w:p>
    <w:bookmarkEnd w:id="95"/>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6" w:name="_Toc10583"/>
      <w:bookmarkStart w:id="97" w:name="_Toc22760"/>
      <w:bookmarkStart w:id="98" w:name="_Toc11278"/>
      <w:bookmarkStart w:id="99" w:name="_Toc15083"/>
      <w:bookmarkStart w:id="100" w:name="_Toc18046"/>
      <w:bookmarkStart w:id="101" w:name="_Toc29215"/>
      <w:bookmarkStart w:id="102" w:name="_Toc23212"/>
      <w:bookmarkStart w:id="103" w:name="_Toc27948"/>
      <w:bookmarkStart w:id="104" w:name="_Toc27985"/>
      <w:bookmarkStart w:id="105" w:name="_Toc26609"/>
      <w:bookmarkStart w:id="106" w:name="_Toc15894"/>
      <w:bookmarkStart w:id="107" w:name="_Toc19589"/>
      <w:bookmarkStart w:id="108"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440" w:firstLineChars="200"/>
        <w:outlineLvl w:val="1"/>
        <w:rPr>
          <w:rFonts w:hint="eastAsia" w:ascii="仿宋" w:hAnsi="仿宋" w:eastAsia="仿宋" w:cs="仿宋"/>
          <w:sz w:val="22"/>
        </w:rPr>
      </w:pPr>
      <w:bookmarkStart w:id="109" w:name="_Toc8348"/>
      <w:bookmarkStart w:id="110" w:name="_Toc24107"/>
      <w:bookmarkStart w:id="111" w:name="_Toc4116"/>
      <w:bookmarkStart w:id="112" w:name="_Toc27767"/>
      <w:bookmarkStart w:id="113" w:name="_Toc14546"/>
      <w:bookmarkStart w:id="114" w:name="_Toc8940"/>
      <w:bookmarkStart w:id="115" w:name="_Toc24655"/>
      <w:bookmarkStart w:id="116" w:name="_Toc17204"/>
      <w:bookmarkStart w:id="117" w:name="_Toc29648"/>
      <w:bookmarkStart w:id="118" w:name="_Toc17741"/>
      <w:bookmarkStart w:id="119" w:name="_Toc24671"/>
      <w:bookmarkStart w:id="120" w:name="_Toc757"/>
      <w:bookmarkStart w:id="121"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360" w:lineRule="auto"/>
        <w:ind w:firstLine="440" w:firstLineChars="200"/>
        <w:outlineLvl w:val="1"/>
        <w:rPr>
          <w:rFonts w:hint="eastAsia" w:ascii="仿宋" w:hAnsi="仿宋" w:eastAsia="仿宋" w:cs="仿宋"/>
          <w:sz w:val="22"/>
        </w:rPr>
      </w:pPr>
      <w:bookmarkStart w:id="122" w:name="_Toc5840"/>
      <w:bookmarkStart w:id="123" w:name="_Toc20745"/>
      <w:bookmarkStart w:id="124" w:name="_Toc8524"/>
      <w:bookmarkStart w:id="125" w:name="_Toc10950"/>
      <w:bookmarkStart w:id="126" w:name="_Toc10308"/>
      <w:bookmarkStart w:id="127" w:name="_Toc2003"/>
      <w:bookmarkStart w:id="128" w:name="_Toc12682"/>
      <w:bookmarkStart w:id="129" w:name="_Toc14781"/>
      <w:bookmarkStart w:id="130" w:name="_Toc10945"/>
      <w:bookmarkStart w:id="131" w:name="_Toc22243"/>
      <w:bookmarkStart w:id="132" w:name="_Toc24280"/>
      <w:bookmarkStart w:id="133" w:name="_Toc15917"/>
      <w:r>
        <w:rPr>
          <w:rFonts w:hint="eastAsia" w:ascii="仿宋" w:hAnsi="仿宋" w:eastAsia="仿宋" w:cs="仿宋"/>
          <w:sz w:val="22"/>
        </w:rPr>
        <w:t>日    期：</w:t>
      </w:r>
      <w:bookmarkEnd w:id="122"/>
      <w:bookmarkEnd w:id="123"/>
      <w:bookmarkEnd w:id="124"/>
      <w:bookmarkEnd w:id="125"/>
      <w:bookmarkEnd w:id="126"/>
      <w:bookmarkEnd w:id="127"/>
      <w:bookmarkEnd w:id="128"/>
      <w:bookmarkEnd w:id="129"/>
      <w:bookmarkEnd w:id="130"/>
      <w:bookmarkEnd w:id="131"/>
      <w:bookmarkEnd w:id="132"/>
      <w:bookmarkEnd w:id="133"/>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eastAsia"/>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E1F"/>
    <w:multiLevelType w:val="multilevel"/>
    <w:tmpl w:val="21915E1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abstractNum w:abstractNumId="2">
    <w:nsid w:val="52FFD543"/>
    <w:multiLevelType w:val="singleLevel"/>
    <w:tmpl w:val="52FFD54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43F6873"/>
    <w:rsid w:val="07953CAB"/>
    <w:rsid w:val="07B925A7"/>
    <w:rsid w:val="08D4152B"/>
    <w:rsid w:val="0BF815CE"/>
    <w:rsid w:val="0C6266C1"/>
    <w:rsid w:val="0C716207"/>
    <w:rsid w:val="0E911C5D"/>
    <w:rsid w:val="0FD06917"/>
    <w:rsid w:val="0FD22573"/>
    <w:rsid w:val="103C350A"/>
    <w:rsid w:val="104656F7"/>
    <w:rsid w:val="109013FD"/>
    <w:rsid w:val="10954EC2"/>
    <w:rsid w:val="12A81059"/>
    <w:rsid w:val="14456F80"/>
    <w:rsid w:val="15445F77"/>
    <w:rsid w:val="17CD0B1C"/>
    <w:rsid w:val="195D2073"/>
    <w:rsid w:val="1A37043E"/>
    <w:rsid w:val="2262170C"/>
    <w:rsid w:val="228C2840"/>
    <w:rsid w:val="25644C9D"/>
    <w:rsid w:val="272816FC"/>
    <w:rsid w:val="27C42904"/>
    <w:rsid w:val="28203DA9"/>
    <w:rsid w:val="2E8A7141"/>
    <w:rsid w:val="307D687A"/>
    <w:rsid w:val="33BC6502"/>
    <w:rsid w:val="357C4381"/>
    <w:rsid w:val="364F4E7F"/>
    <w:rsid w:val="365344A5"/>
    <w:rsid w:val="396510AC"/>
    <w:rsid w:val="3B4C1295"/>
    <w:rsid w:val="3D2B34C1"/>
    <w:rsid w:val="3ED3727D"/>
    <w:rsid w:val="405F3E1B"/>
    <w:rsid w:val="40EE5E6B"/>
    <w:rsid w:val="41065270"/>
    <w:rsid w:val="41EE0E8D"/>
    <w:rsid w:val="44DA14CD"/>
    <w:rsid w:val="486E11CC"/>
    <w:rsid w:val="48983A5D"/>
    <w:rsid w:val="4A5E7EC0"/>
    <w:rsid w:val="4AE36A9A"/>
    <w:rsid w:val="4B7A520A"/>
    <w:rsid w:val="4DF2155E"/>
    <w:rsid w:val="4EE10A0C"/>
    <w:rsid w:val="511B173F"/>
    <w:rsid w:val="51CB3FD0"/>
    <w:rsid w:val="54407E70"/>
    <w:rsid w:val="5536063D"/>
    <w:rsid w:val="55B75F0E"/>
    <w:rsid w:val="55F211D3"/>
    <w:rsid w:val="577B25E6"/>
    <w:rsid w:val="58535569"/>
    <w:rsid w:val="5C452678"/>
    <w:rsid w:val="5C5C1607"/>
    <w:rsid w:val="5C7C0F06"/>
    <w:rsid w:val="5EBA0E78"/>
    <w:rsid w:val="5FEC0FA4"/>
    <w:rsid w:val="61DB5EE7"/>
    <w:rsid w:val="629B498F"/>
    <w:rsid w:val="62FA0171"/>
    <w:rsid w:val="637366D0"/>
    <w:rsid w:val="63E72E68"/>
    <w:rsid w:val="64ED5044"/>
    <w:rsid w:val="65C660EF"/>
    <w:rsid w:val="65DA011F"/>
    <w:rsid w:val="66D20681"/>
    <w:rsid w:val="672843F4"/>
    <w:rsid w:val="69EF0691"/>
    <w:rsid w:val="6A052BEC"/>
    <w:rsid w:val="6A38583D"/>
    <w:rsid w:val="6C0F1984"/>
    <w:rsid w:val="6C3C2942"/>
    <w:rsid w:val="6CAC0A51"/>
    <w:rsid w:val="6CF82393"/>
    <w:rsid w:val="701306BF"/>
    <w:rsid w:val="710D63F2"/>
    <w:rsid w:val="71C813F5"/>
    <w:rsid w:val="71D57369"/>
    <w:rsid w:val="732B1655"/>
    <w:rsid w:val="74D66230"/>
    <w:rsid w:val="75233D75"/>
    <w:rsid w:val="77490A08"/>
    <w:rsid w:val="78341D7C"/>
    <w:rsid w:val="78BA1DAC"/>
    <w:rsid w:val="796D0F02"/>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7</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2024-05-14T02:23:40Z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