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3"/>
        <w:keepNext w:val="0"/>
        <w:keepLines w:val="0"/>
        <w:shd w:val="clear"/>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3"/>
        <w:keepNext w:val="0"/>
        <w:keepLines w:val="0"/>
        <w:shd w:val="clear"/>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r>
        <w:rPr>
          <w:rFonts w:hint="eastAsia" w:ascii="宋体" w:hAnsi="宋体" w:eastAsia="宋体" w:cs="仿宋"/>
          <w:sz w:val="24"/>
          <w:szCs w:val="24"/>
        </w:rPr>
        <w:t>★</w:t>
      </w:r>
      <w:r>
        <w:rPr>
          <w:rFonts w:hint="eastAsia" w:ascii="宋体" w:hAnsi="宋体" w:eastAsia="宋体" w:cs="仿宋"/>
          <w:bCs w:val="0"/>
          <w:sz w:val="24"/>
          <w:szCs w:val="24"/>
        </w:rPr>
        <w:t>”符号的条款为本项目的重要参数条款，未标识符号的条款为一般参数条款。</w:t>
      </w:r>
    </w:p>
    <w:p>
      <w:pPr>
        <w:pStyle w:val="3"/>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rPr>
        <w:t>一、</w:t>
      </w:r>
      <w:r>
        <w:rPr>
          <w:rFonts w:hint="eastAsia" w:ascii="宋体" w:hAnsi="宋体" w:eastAsia="宋体" w:cs="仿宋"/>
          <w:sz w:val="24"/>
          <w:szCs w:val="24"/>
          <w:lang w:val="en-US" w:eastAsia="zh-CN"/>
        </w:rPr>
        <w:t>采购项目编号：SCFY-YXZB202405-004（比）</w:t>
      </w:r>
    </w:p>
    <w:p>
      <w:pPr>
        <w:pStyle w:val="3"/>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二、年度采购</w:t>
      </w:r>
      <w:r>
        <w:rPr>
          <w:rFonts w:hint="eastAsia" w:ascii="宋体" w:hAnsi="宋体" w:eastAsia="宋体" w:cs="仿宋"/>
          <w:sz w:val="24"/>
          <w:szCs w:val="24"/>
        </w:rPr>
        <w:t>预算：</w:t>
      </w:r>
      <w:r>
        <w:rPr>
          <w:rFonts w:hint="eastAsia" w:ascii="宋体" w:hAnsi="宋体" w:eastAsia="宋体" w:cs="仿宋"/>
          <w:sz w:val="24"/>
          <w:szCs w:val="24"/>
          <w:lang w:val="en-US" w:eastAsia="zh-CN"/>
        </w:rPr>
        <w:t>15</w:t>
      </w:r>
      <w:r>
        <w:rPr>
          <w:rFonts w:hint="eastAsia" w:ascii="宋体" w:hAnsi="宋体" w:eastAsia="宋体" w:cs="仿宋"/>
          <w:sz w:val="24"/>
          <w:szCs w:val="24"/>
        </w:rPr>
        <w:t>万元</w:t>
      </w:r>
      <w:r>
        <w:rPr>
          <w:rFonts w:hint="eastAsia" w:ascii="宋体" w:hAnsi="宋体" w:eastAsia="宋体" w:cs="仿宋"/>
          <w:sz w:val="24"/>
          <w:szCs w:val="24"/>
          <w:lang w:val="en-US" w:eastAsia="zh-CN"/>
        </w:rPr>
        <w:t>/年</w:t>
      </w:r>
    </w:p>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三</w:t>
      </w:r>
      <w:r>
        <w:rPr>
          <w:rFonts w:hint="eastAsia" w:ascii="宋体" w:hAnsi="宋体" w:eastAsia="宋体" w:cs="仿宋"/>
          <w:sz w:val="24"/>
          <w:szCs w:val="24"/>
        </w:rPr>
        <w:t xml:space="preserve">、 </w:t>
      </w:r>
      <w:bookmarkEnd w:id="0"/>
      <w:bookmarkStart w:id="1" w:name="_Toc217446095"/>
      <w:r>
        <w:rPr>
          <w:rFonts w:hint="eastAsia" w:ascii="宋体" w:hAnsi="宋体" w:eastAsia="宋体" w:cs="仿宋"/>
          <w:sz w:val="24"/>
          <w:szCs w:val="24"/>
        </w:rPr>
        <w:t>项目清单及技术要求：</w:t>
      </w:r>
    </w:p>
    <w:tbl>
      <w:tblPr>
        <w:tblStyle w:val="12"/>
        <w:tblW w:w="48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00"/>
        <w:gridCol w:w="1020"/>
        <w:gridCol w:w="996"/>
        <w:gridCol w:w="808"/>
        <w:gridCol w:w="5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69" w:type="pct"/>
            <w:vMerge w:val="restart"/>
            <w:noWrap w:val="0"/>
            <w:vAlign w:val="center"/>
          </w:tcPr>
          <w:p>
            <w:pPr>
              <w:spacing w:line="420" w:lineRule="exact"/>
              <w:jc w:val="center"/>
              <w:rPr>
                <w:rFonts w:hint="eastAsia" w:cs="宋体"/>
                <w:color w:val="000000"/>
                <w:kern w:val="0"/>
                <w:lang w:val="en-US" w:eastAsia="zh-CN"/>
              </w:rPr>
            </w:pPr>
            <w:r>
              <w:rPr>
                <w:rFonts w:hint="eastAsia" w:cs="宋体"/>
                <w:color w:val="000000"/>
                <w:kern w:val="0"/>
                <w:lang w:val="en-US" w:eastAsia="zh-CN"/>
              </w:rPr>
              <w:t>项目清单及</w:t>
            </w:r>
          </w:p>
          <w:p>
            <w:pPr>
              <w:spacing w:line="420" w:lineRule="exact"/>
              <w:jc w:val="center"/>
              <w:rPr>
                <w:rFonts w:hint="eastAsia" w:eastAsia="宋体"/>
                <w:color w:val="000000"/>
                <w:lang w:val="en-US" w:eastAsia="zh-CN"/>
              </w:rPr>
            </w:pPr>
            <w:r>
              <w:rPr>
                <w:rFonts w:hint="eastAsia" w:cs="宋体"/>
                <w:color w:val="000000"/>
                <w:kern w:val="0"/>
              </w:rPr>
              <w:t>技术参</w:t>
            </w:r>
            <w:r>
              <w:rPr>
                <w:rFonts w:hint="eastAsia" w:cs="宋体"/>
                <w:color w:val="000000"/>
                <w:kern w:val="0"/>
                <w:lang w:val="en-US" w:eastAsia="zh-CN"/>
              </w:rPr>
              <w:t>数</w:t>
            </w:r>
          </w:p>
        </w:tc>
        <w:tc>
          <w:tcPr>
            <w:tcW w:w="307" w:type="pct"/>
            <w:noWrap w:val="0"/>
            <w:vAlign w:val="center"/>
          </w:tcPr>
          <w:p>
            <w:pPr>
              <w:autoSpaceDE w:val="0"/>
              <w:autoSpaceDN w:val="0"/>
              <w:jc w:val="center"/>
              <w:rPr>
                <w:rFonts w:ascii="宋体" w:hAnsi="宋体"/>
                <w:b/>
                <w:sz w:val="18"/>
                <w:szCs w:val="18"/>
              </w:rPr>
            </w:pPr>
            <w:r>
              <w:rPr>
                <w:rFonts w:hint="eastAsia" w:ascii="宋体" w:hAnsi="宋体"/>
                <w:b/>
                <w:sz w:val="18"/>
                <w:szCs w:val="18"/>
              </w:rPr>
              <w:t>序号</w:t>
            </w:r>
          </w:p>
        </w:tc>
        <w:tc>
          <w:tcPr>
            <w:tcW w:w="523" w:type="pct"/>
            <w:noWrap w:val="0"/>
            <w:vAlign w:val="center"/>
          </w:tcPr>
          <w:p>
            <w:pPr>
              <w:autoSpaceDE w:val="0"/>
              <w:autoSpaceDN w:val="0"/>
              <w:jc w:val="center"/>
              <w:rPr>
                <w:rFonts w:ascii="宋体" w:hAnsi="宋体"/>
                <w:b/>
                <w:sz w:val="18"/>
                <w:szCs w:val="18"/>
              </w:rPr>
            </w:pPr>
            <w:r>
              <w:rPr>
                <w:rFonts w:ascii="宋体" w:hAnsi="宋体"/>
                <w:b/>
                <w:sz w:val="18"/>
                <w:szCs w:val="18"/>
              </w:rPr>
              <w:t>产品名称</w:t>
            </w:r>
          </w:p>
        </w:tc>
        <w:tc>
          <w:tcPr>
            <w:tcW w:w="511" w:type="pct"/>
            <w:noWrap w:val="0"/>
            <w:vAlign w:val="center"/>
          </w:tcPr>
          <w:p>
            <w:pPr>
              <w:autoSpaceDE w:val="0"/>
              <w:autoSpaceDN w:val="0"/>
              <w:jc w:val="center"/>
              <w:rPr>
                <w:rFonts w:hint="default" w:ascii="宋体" w:hAnsi="宋体" w:eastAsia="宋体"/>
                <w:b/>
                <w:sz w:val="18"/>
                <w:szCs w:val="18"/>
                <w:lang w:val="en-US" w:eastAsia="zh-CN"/>
              </w:rPr>
            </w:pPr>
            <w:r>
              <w:rPr>
                <w:rFonts w:hint="eastAsia" w:ascii="宋体" w:hAnsi="宋体"/>
                <w:b/>
                <w:sz w:val="18"/>
                <w:szCs w:val="18"/>
                <w:lang w:val="en-US" w:eastAsia="zh-CN"/>
              </w:rPr>
              <w:t>预算单价</w:t>
            </w:r>
          </w:p>
        </w:tc>
        <w:tc>
          <w:tcPr>
            <w:tcW w:w="414" w:type="pct"/>
            <w:noWrap w:val="0"/>
            <w:vAlign w:val="center"/>
          </w:tcPr>
          <w:p>
            <w:pPr>
              <w:autoSpaceDE w:val="0"/>
              <w:autoSpaceDN w:val="0"/>
              <w:jc w:val="center"/>
              <w:rPr>
                <w:rFonts w:ascii="宋体" w:hAnsi="宋体"/>
                <w:b/>
                <w:sz w:val="18"/>
                <w:szCs w:val="18"/>
              </w:rPr>
            </w:pPr>
            <w:r>
              <w:rPr>
                <w:rFonts w:hint="eastAsia" w:ascii="宋体" w:hAnsi="宋体"/>
                <w:b/>
                <w:sz w:val="18"/>
                <w:szCs w:val="18"/>
              </w:rPr>
              <w:t>预估年</w:t>
            </w:r>
            <w:r>
              <w:rPr>
                <w:rFonts w:hint="eastAsia" w:ascii="宋体" w:hAnsi="宋体"/>
                <w:b/>
                <w:sz w:val="18"/>
                <w:szCs w:val="18"/>
                <w:lang w:val="en-US" w:eastAsia="zh-CN"/>
              </w:rPr>
              <w:t>度用</w:t>
            </w:r>
            <w:r>
              <w:rPr>
                <w:rFonts w:hint="eastAsia" w:ascii="宋体" w:hAnsi="宋体"/>
                <w:b/>
                <w:sz w:val="18"/>
                <w:szCs w:val="18"/>
              </w:rPr>
              <w:t>量</w:t>
            </w:r>
          </w:p>
        </w:tc>
        <w:tc>
          <w:tcPr>
            <w:tcW w:w="2873" w:type="pct"/>
            <w:noWrap w:val="0"/>
            <w:vAlign w:val="center"/>
          </w:tcPr>
          <w:p>
            <w:pPr>
              <w:autoSpaceDE w:val="0"/>
              <w:autoSpaceDN w:val="0"/>
              <w:jc w:val="center"/>
              <w:rPr>
                <w:rFonts w:ascii="宋体" w:hAnsi="宋体"/>
                <w:b/>
                <w:sz w:val="18"/>
                <w:szCs w:val="18"/>
              </w:rPr>
            </w:pPr>
            <w:r>
              <w:rPr>
                <w:rFonts w:ascii="宋体" w:hAnsi="宋体"/>
                <w:b/>
                <w:sz w:val="18"/>
                <w:szCs w:val="1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369" w:type="pct"/>
            <w:vMerge w:val="continue"/>
            <w:noWrap w:val="0"/>
            <w:vAlign w:val="center"/>
          </w:tcPr>
          <w:p>
            <w:pPr>
              <w:spacing w:line="420" w:lineRule="exact"/>
              <w:jc w:val="center"/>
              <w:rPr>
                <w:rFonts w:hint="eastAsia" w:cs="宋体"/>
                <w:color w:val="000000"/>
                <w:kern w:val="0"/>
              </w:rPr>
            </w:pPr>
          </w:p>
        </w:tc>
        <w:tc>
          <w:tcPr>
            <w:tcW w:w="307" w:type="pct"/>
            <w:noWrap w:val="0"/>
            <w:vAlign w:val="center"/>
          </w:tcPr>
          <w:p>
            <w:pPr>
              <w:autoSpaceDE w:val="0"/>
              <w:autoSpaceDN w:val="0"/>
              <w:jc w:val="center"/>
              <w:rPr>
                <w:rFonts w:ascii="宋体" w:hAnsi="宋体"/>
                <w:kern w:val="2"/>
                <w:sz w:val="21"/>
                <w:szCs w:val="21"/>
                <w:lang w:val="en-US" w:eastAsia="zh-CN" w:bidi="ar-SA"/>
              </w:rPr>
            </w:pPr>
            <w:r>
              <w:rPr>
                <w:rFonts w:hint="eastAsia" w:ascii="宋体" w:hAnsi="宋体"/>
                <w:sz w:val="21"/>
                <w:szCs w:val="21"/>
              </w:rPr>
              <w:t>1</w:t>
            </w:r>
          </w:p>
        </w:tc>
        <w:tc>
          <w:tcPr>
            <w:tcW w:w="523"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rPr>
              <w:t>微血管吻合</w:t>
            </w:r>
            <w:r>
              <w:rPr>
                <w:rFonts w:hint="eastAsia" w:ascii="宋体" w:hAnsi="宋体" w:cs="宋体"/>
                <w:color w:val="000000"/>
                <w:lang w:val="en-US" w:eastAsia="zh-CN"/>
              </w:rPr>
              <w:t>器</w:t>
            </w:r>
          </w:p>
        </w:tc>
        <w:tc>
          <w:tcPr>
            <w:tcW w:w="511"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rPr>
              <w:t>15000元</w:t>
            </w:r>
          </w:p>
        </w:tc>
        <w:tc>
          <w:tcPr>
            <w:tcW w:w="414"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rPr>
              <w:t>10套</w:t>
            </w:r>
          </w:p>
        </w:tc>
        <w:tc>
          <w:tcPr>
            <w:tcW w:w="2873" w:type="pct"/>
            <w:noWrap w:val="0"/>
            <w:vAlign w:val="top"/>
          </w:tcPr>
          <w:p>
            <w:pPr>
              <w:widowControl/>
              <w:jc w:val="left"/>
              <w:textAlignment w:val="center"/>
              <w:rPr>
                <w:rFonts w:hint="eastAsia" w:eastAsia="宋体"/>
                <w:lang w:eastAsia="zh-CN"/>
              </w:rPr>
            </w:pPr>
            <w:r>
              <w:rPr>
                <w:rFonts w:hint="eastAsia"/>
              </w:rPr>
              <w:t>用途：</w:t>
            </w:r>
            <w:r>
              <w:rPr>
                <w:rFonts w:hint="eastAsia" w:ascii="宋体" w:hAnsi="宋体" w:cs="宋体"/>
                <w:color w:val="000000"/>
              </w:rPr>
              <w:t>用于微血管吻合</w:t>
            </w:r>
            <w:r>
              <w:rPr>
                <w:rFonts w:hint="eastAsia" w:ascii="宋体" w:hAnsi="宋体" w:cs="宋体"/>
                <w:color w:val="000000"/>
                <w:lang w:eastAsia="zh-CN"/>
              </w:rPr>
              <w:t>。</w:t>
            </w:r>
          </w:p>
          <w:p>
            <w:pPr>
              <w:pStyle w:val="18"/>
              <w:numPr>
                <w:ilvl w:val="0"/>
                <w:numId w:val="1"/>
              </w:numPr>
              <w:ind w:firstLineChars="0"/>
              <w:rPr>
                <w:rFonts w:ascii="宋体" w:hAnsi="宋体" w:cs="宋体"/>
                <w:color w:val="000000"/>
              </w:rPr>
            </w:pPr>
            <w:r>
              <w:rPr>
                <w:rFonts w:hint="eastAsia" w:ascii="宋体" w:hAnsi="宋体" w:cs="宋体"/>
                <w:color w:val="000000"/>
              </w:rPr>
              <w:t>一次性使用</w:t>
            </w:r>
            <w:r>
              <w:rPr>
                <w:rFonts w:hint="eastAsia" w:ascii="宋体" w:hAnsi="宋体" w:cs="宋体"/>
                <w:color w:val="000000"/>
                <w:lang w:eastAsia="zh-CN"/>
              </w:rPr>
              <w:t>。</w:t>
            </w:r>
          </w:p>
          <w:p>
            <w:pPr>
              <w:pStyle w:val="18"/>
              <w:numPr>
                <w:ilvl w:val="0"/>
                <w:numId w:val="1"/>
              </w:numPr>
              <w:ind w:firstLineChars="0"/>
            </w:pPr>
            <w:r>
              <w:rPr>
                <w:rFonts w:hint="eastAsia" w:ascii="宋体" w:hAnsi="宋体" w:cs="宋体"/>
                <w:color w:val="000000"/>
              </w:rPr>
              <w:t>规格要求1.0mm-4.0mm均有配备</w:t>
            </w:r>
            <w:r>
              <w:rPr>
                <w:rFonts w:hint="eastAsia" w:ascii="宋体" w:hAnsi="宋体" w:cs="宋体"/>
                <w:color w:val="000000"/>
                <w:lang w:eastAsia="zh-CN"/>
              </w:rPr>
              <w:t>，</w:t>
            </w:r>
            <w:r>
              <w:rPr>
                <w:rFonts w:hint="eastAsia" w:ascii="宋体" w:hAnsi="宋体" w:cs="宋体"/>
                <w:color w:val="000000"/>
                <w:lang w:val="en-US" w:eastAsia="zh-CN"/>
              </w:rPr>
              <w:t>可供选择。</w:t>
            </w:r>
          </w:p>
          <w:p>
            <w:pPr>
              <w:pStyle w:val="18"/>
              <w:numPr>
                <w:ilvl w:val="0"/>
                <w:numId w:val="1"/>
              </w:numPr>
              <w:ind w:left="360" w:leftChars="0" w:hanging="360" w:firstLineChars="0"/>
              <w:rPr>
                <w:rFonts w:hint="default"/>
                <w:lang w:val="en-US" w:eastAsia="zh-CN"/>
              </w:rPr>
            </w:pPr>
            <w:r>
              <w:rPr>
                <w:rFonts w:hint="eastAsia" w:ascii="宋体" w:hAnsi="宋体" w:cs="宋体"/>
                <w:color w:val="000000"/>
              </w:rPr>
              <w:t>配</w:t>
            </w:r>
            <w:r>
              <w:rPr>
                <w:rFonts w:hint="eastAsia" w:ascii="宋体" w:hAnsi="宋体" w:cs="宋体"/>
                <w:color w:val="000000"/>
                <w:lang w:val="en-US" w:eastAsia="zh-CN"/>
              </w:rPr>
              <w:t>备</w:t>
            </w:r>
            <w:r>
              <w:rPr>
                <w:rFonts w:hint="eastAsia" w:ascii="宋体" w:hAnsi="宋体" w:cs="宋体"/>
                <w:color w:val="000000"/>
              </w:rPr>
              <w:t>吻合器使用</w:t>
            </w:r>
            <w:r>
              <w:rPr>
                <w:rFonts w:hint="eastAsia" w:ascii="宋体" w:hAnsi="宋体" w:cs="宋体"/>
                <w:color w:val="000000"/>
                <w:lang w:val="en-US" w:eastAsia="zh-CN"/>
              </w:rPr>
              <w:t>时</w:t>
            </w:r>
            <w:r>
              <w:rPr>
                <w:rFonts w:hint="eastAsia" w:ascii="宋体" w:hAnsi="宋体" w:cs="宋体"/>
                <w:color w:val="000000"/>
              </w:rPr>
              <w:t>需要的合拢器，显微镊及测量尺。</w:t>
            </w:r>
          </w:p>
        </w:tc>
      </w:tr>
      <w:bookmarkEnd w:id="1"/>
    </w:tbl>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四</w:t>
      </w:r>
      <w:r>
        <w:rPr>
          <w:rFonts w:hint="eastAsia" w:ascii="宋体" w:hAnsi="宋体" w:eastAsia="宋体" w:cs="仿宋"/>
          <w:sz w:val="24"/>
          <w:szCs w:val="24"/>
        </w:rPr>
        <w:t>、项目要求</w:t>
      </w:r>
    </w:p>
    <w:p>
      <w:pPr>
        <w:pStyle w:val="2"/>
        <w:rPr>
          <w:rFonts w:hint="eastAsia" w:ascii="Times New Roman" w:hAnsi="Times New Roman" w:eastAsia="宋体" w:cs="Times New Roman"/>
          <w:lang w:eastAsia="zh-CN"/>
        </w:rPr>
      </w:pPr>
      <w:r>
        <w:rPr>
          <w:rFonts w:hint="eastAsia" w:ascii="Times New Roman" w:hAnsi="Times New Roman" w:eastAsia="宋体" w:cs="Times New Roman"/>
        </w:rPr>
        <w:t>▲1.供应商投标产品</w:t>
      </w:r>
      <w:r>
        <w:rPr>
          <w:rFonts w:hint="eastAsia" w:ascii="Times New Roman" w:hAnsi="Times New Roman" w:eastAsia="宋体" w:cs="Times New Roman"/>
          <w:lang w:eastAsia="zh-CN"/>
        </w:rPr>
        <w:t>若为Ⅱ、Ⅲ类医疗器械</w:t>
      </w:r>
      <w:r>
        <w:rPr>
          <w:rFonts w:hint="eastAsia" w:ascii="Times New Roman" w:hAnsi="Times New Roman" w:eastAsia="宋体" w:cs="Times New Roman"/>
          <w:lang w:val="en-US" w:eastAsia="zh-CN"/>
        </w:rPr>
        <w:t>和具有医疗器械注册证或备案凭证的体外诊断试剂</w:t>
      </w:r>
      <w:r>
        <w:rPr>
          <w:rFonts w:hint="eastAsia" w:ascii="Times New Roman" w:hAnsi="Times New Roman" w:eastAsia="宋体" w:cs="Times New Roman"/>
          <w:lang w:eastAsia="zh-CN"/>
        </w:rPr>
        <w:t>，则</w:t>
      </w:r>
      <w:r>
        <w:rPr>
          <w:rFonts w:hint="eastAsia" w:ascii="Times New Roman" w:hAnsi="Times New Roman" w:eastAsia="宋体" w:cs="Times New Roman"/>
        </w:rPr>
        <w:t>必须为四川省药械集中采购及医药价格监管平台挂网公示产品,并提供挂网商品代码（</w:t>
      </w:r>
      <w:r>
        <w:rPr>
          <w:rFonts w:hint="eastAsia" w:ascii="Times New Roman" w:hAnsi="Times New Roman" w:eastAsia="宋体" w:cs="Times New Roman"/>
          <w:b/>
          <w:bCs/>
        </w:rPr>
        <w:t>已经挂网的需要提供集采平台挂网截图</w:t>
      </w:r>
      <w:r>
        <w:rPr>
          <w:rFonts w:hint="eastAsia" w:ascii="Times New Roman" w:hAnsi="Times New Roman" w:eastAsia="宋体" w:cs="Times New Roman"/>
        </w:rPr>
        <w:t>）</w:t>
      </w:r>
      <w:r>
        <w:rPr>
          <w:rFonts w:hint="eastAsia" w:ascii="Times New Roman" w:hAnsi="Times New Roman" w:eastAsia="宋体" w:cs="Times New Roman"/>
          <w:lang w:eastAsia="zh-CN"/>
        </w:rPr>
        <w:t>。</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2</w:t>
      </w:r>
      <w:r>
        <w:rPr>
          <w:rFonts w:hint="eastAsia" w:ascii="Times New Roman" w:hAnsi="Times New Roman" w:eastAsia="宋体" w:cs="Times New Roman"/>
        </w:rPr>
        <w:t>.供货期限：3年，采购数量以实际使用量为准。</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3</w:t>
      </w:r>
      <w:r>
        <w:rPr>
          <w:rFonts w:hint="eastAsia" w:ascii="Times New Roman" w:hAnsi="Times New Roman" w:eastAsia="宋体" w:cs="Times New Roman"/>
        </w:rPr>
        <w:t>.合同结算：本项目的“预估</w:t>
      </w:r>
      <w:r>
        <w:rPr>
          <w:rFonts w:hint="eastAsia" w:ascii="Times New Roman" w:hAnsi="Times New Roman" w:eastAsia="宋体" w:cs="Times New Roman"/>
          <w:lang w:val="en-US" w:eastAsia="zh-CN"/>
        </w:rPr>
        <w:t>年度用</w:t>
      </w:r>
      <w:r>
        <w:rPr>
          <w:rFonts w:hint="eastAsia" w:ascii="Times New Roman" w:hAnsi="Times New Roman" w:eastAsia="宋体" w:cs="Times New Roman"/>
        </w:rPr>
        <w:t>量”、 供应商的“投标总价”仅做为报价评审依据，最终根据实际需求进行相应调整，结算以实际发生量乘以供应商</w:t>
      </w:r>
      <w:r>
        <w:rPr>
          <w:rFonts w:hint="eastAsia" w:ascii="Times New Roman" w:hAnsi="Times New Roman" w:eastAsia="宋体" w:cs="Times New Roman"/>
          <w:lang w:val="en-US" w:eastAsia="zh-CN"/>
        </w:rPr>
        <w:t>挂网单价（未挂网按</w:t>
      </w:r>
      <w:r>
        <w:rPr>
          <w:rFonts w:hint="eastAsia" w:ascii="Times New Roman" w:hAnsi="Times New Roman" w:eastAsia="宋体" w:cs="Times New Roman"/>
        </w:rPr>
        <w:t>投标单价</w:t>
      </w:r>
      <w:r>
        <w:rPr>
          <w:rFonts w:hint="eastAsia" w:ascii="Times New Roman" w:hAnsi="Times New Roman" w:eastAsia="宋体" w:cs="Times New Roman"/>
          <w:lang w:val="en-US" w:eastAsia="zh-CN"/>
        </w:rPr>
        <w:t>）</w:t>
      </w:r>
      <w:r>
        <w:rPr>
          <w:rFonts w:hint="eastAsia" w:ascii="Times New Roman" w:hAnsi="Times New Roman" w:eastAsia="宋体" w:cs="Times New Roman"/>
        </w:rPr>
        <w:t>结算。</w:t>
      </w:r>
    </w:p>
    <w:p>
      <w:pPr>
        <w:widowControl/>
        <w:shd w:val="clear"/>
        <w:spacing w:line="360" w:lineRule="auto"/>
        <w:jc w:val="left"/>
        <w:rPr>
          <w:rFonts w:hint="eastAsia" w:ascii="宋体" w:hAnsi="宋体" w:eastAsia="宋体" w:cs="Segoe UI"/>
          <w:b/>
          <w:bCs/>
          <w:kern w:val="0"/>
          <w:sz w:val="28"/>
          <w:szCs w:val="28"/>
        </w:rPr>
      </w:pPr>
    </w:p>
    <w:p>
      <w:pPr>
        <w:widowControl/>
        <w:shd w:val="clear"/>
        <w:spacing w:line="360" w:lineRule="auto"/>
        <w:jc w:val="left"/>
        <w:rPr>
          <w:rFonts w:hint="eastAsia" w:ascii="宋体" w:hAnsi="宋体" w:eastAsia="宋体" w:cs="Segoe UI"/>
          <w:b/>
          <w:bCs/>
          <w:kern w:val="0"/>
          <w:sz w:val="28"/>
          <w:szCs w:val="28"/>
        </w:rPr>
      </w:pPr>
    </w:p>
    <w:p>
      <w:pPr>
        <w:rPr>
          <w:rFonts w:hint="eastAsia" w:ascii="宋体" w:hAnsi="宋体" w:eastAsia="宋体" w:cs="Segoe UI"/>
          <w:b/>
          <w:bCs/>
          <w:kern w:val="0"/>
          <w:sz w:val="28"/>
          <w:szCs w:val="28"/>
        </w:rPr>
      </w:pPr>
      <w:r>
        <w:rPr>
          <w:rFonts w:hint="eastAsia" w:ascii="宋体" w:hAnsi="宋体" w:eastAsia="宋体" w:cs="Segoe UI"/>
          <w:b/>
          <w:bCs/>
          <w:kern w:val="0"/>
          <w:sz w:val="28"/>
          <w:szCs w:val="28"/>
        </w:rPr>
        <w:br w:type="page"/>
      </w:r>
    </w:p>
    <w:p>
      <w:pPr>
        <w:widowControl/>
        <w:shd w:val="clear"/>
        <w:spacing w:line="360" w:lineRule="auto"/>
        <w:jc w:val="left"/>
        <w:rPr>
          <w:rFonts w:hint="eastAsia" w:ascii="宋体" w:hAnsi="宋体" w:eastAsia="宋体" w:cs="Segoe UI"/>
          <w:b/>
          <w:bCs/>
          <w:kern w:val="0"/>
          <w:sz w:val="28"/>
          <w:szCs w:val="28"/>
        </w:rPr>
      </w:pPr>
      <w:bookmarkStart w:id="135" w:name="_GoBack"/>
      <w:bookmarkEnd w:id="135"/>
      <w:r>
        <w:rPr>
          <w:rFonts w:hint="eastAsia" w:ascii="宋体" w:hAnsi="宋体" w:eastAsia="宋体" w:cs="Segoe UI"/>
          <w:b/>
          <w:bCs/>
          <w:kern w:val="0"/>
          <w:sz w:val="28"/>
          <w:szCs w:val="28"/>
        </w:rPr>
        <w:t>附件</w:t>
      </w:r>
      <w:r>
        <w:rPr>
          <w:rFonts w:ascii="Segoe UI" w:hAnsi="Segoe UI" w:eastAsia="宋体" w:cs="Segoe UI"/>
          <w:b/>
          <w:bCs/>
          <w:kern w:val="0"/>
          <w:sz w:val="28"/>
          <w:szCs w:val="28"/>
        </w:rPr>
        <w:t>2</w:t>
      </w:r>
      <w:r>
        <w:rPr>
          <w:rFonts w:hint="eastAsia" w:ascii="宋体" w:hAnsi="宋体" w:eastAsia="宋体" w:cs="Segoe UI"/>
          <w:b/>
          <w:bCs/>
          <w:kern w:val="0"/>
          <w:sz w:val="28"/>
          <w:szCs w:val="28"/>
        </w:rPr>
        <w:t>：评审办法（综合评分明细表）</w:t>
      </w:r>
    </w:p>
    <w:tbl>
      <w:tblPr>
        <w:tblStyle w:val="12"/>
        <w:tblW w:w="52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1028"/>
        <w:gridCol w:w="496"/>
        <w:gridCol w:w="4203"/>
        <w:gridCol w:w="4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9"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序号</w:t>
            </w:r>
          </w:p>
        </w:tc>
        <w:tc>
          <w:tcPr>
            <w:tcW w:w="492" w:type="pct"/>
            <w:noWrap w:val="0"/>
            <w:vAlign w:val="center"/>
          </w:tcPr>
          <w:p>
            <w:pPr>
              <w:widowControl/>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评分因素</w:t>
            </w:r>
          </w:p>
        </w:tc>
        <w:tc>
          <w:tcPr>
            <w:tcW w:w="237"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分值</w:t>
            </w:r>
          </w:p>
        </w:tc>
        <w:tc>
          <w:tcPr>
            <w:tcW w:w="2012"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评分标准</w:t>
            </w:r>
          </w:p>
        </w:tc>
        <w:tc>
          <w:tcPr>
            <w:tcW w:w="2068"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9" w:type="pct"/>
            <w:noWrap w:val="0"/>
            <w:vAlign w:val="center"/>
          </w:tcPr>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rPr>
              <w:t>1</w:t>
            </w:r>
          </w:p>
        </w:tc>
        <w:tc>
          <w:tcPr>
            <w:tcW w:w="492" w:type="pct"/>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rPr>
              <w:t>30%</w:t>
            </w:r>
          </w:p>
        </w:tc>
        <w:tc>
          <w:tcPr>
            <w:tcW w:w="237"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rPr>
              <w:t>30</w:t>
            </w:r>
          </w:p>
        </w:tc>
        <w:tc>
          <w:tcPr>
            <w:tcW w:w="2012" w:type="pct"/>
            <w:noWrap w:val="0"/>
            <w:vAlign w:val="center"/>
          </w:tcPr>
          <w:p>
            <w:pPr>
              <w:widowControl/>
              <w:wordWrap w:val="0"/>
              <w:spacing w:line="270" w:lineRule="atLeast"/>
              <w:jc w:val="left"/>
              <w:rPr>
                <w:rFonts w:ascii="宋体" w:hAnsi="宋体" w:cs="Segoe UI"/>
                <w:b/>
                <w:kern w:val="0"/>
                <w:sz w:val="18"/>
                <w:szCs w:val="18"/>
                <w:lang w:val="en-US" w:eastAsia="zh-CN" w:bidi="ar-SA"/>
              </w:rPr>
            </w:pPr>
            <w:r>
              <w:rPr>
                <w:rFonts w:hint="eastAsia" w:ascii="宋体" w:hAnsi="宋体" w:cs="Segoe UI"/>
                <w:kern w:val="0"/>
                <w:sz w:val="18"/>
                <w:szCs w:val="18"/>
              </w:rPr>
              <w:t>投标材料满足招标文件要求且以</w:t>
            </w:r>
            <w:r>
              <w:rPr>
                <w:rFonts w:hint="eastAsia" w:ascii="宋体" w:hAnsi="宋体" w:cs="Segoe UI"/>
                <w:b/>
                <w:bCs/>
                <w:kern w:val="0"/>
                <w:sz w:val="18"/>
                <w:szCs w:val="18"/>
              </w:rPr>
              <w:t>投标</w:t>
            </w:r>
            <w:r>
              <w:rPr>
                <w:rFonts w:hint="eastAsia" w:ascii="宋体" w:hAnsi="宋体" w:cs="Segoe UI"/>
                <w:b/>
                <w:kern w:val="0"/>
                <w:sz w:val="18"/>
                <w:szCs w:val="18"/>
              </w:rPr>
              <w:t>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，其价格分为30分。其他投标人的价格分统一按照以下公式计算：价格分=(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／投标总价)×30</w:t>
            </w:r>
          </w:p>
        </w:tc>
        <w:tc>
          <w:tcPr>
            <w:tcW w:w="2068" w:type="pct"/>
            <w:noWrap w:val="0"/>
            <w:vAlign w:val="center"/>
          </w:tcPr>
          <w:p>
            <w:pPr>
              <w:widowControl/>
              <w:numPr>
                <w:ilvl w:val="0"/>
                <w:numId w:val="2"/>
              </w:numPr>
              <w:wordWrap w:val="0"/>
              <w:spacing w:line="270" w:lineRule="atLeast"/>
              <w:jc w:val="left"/>
              <w:rPr>
                <w:rFonts w:ascii="宋体" w:hAnsi="宋体" w:cs="Segoe UI"/>
                <w:kern w:val="0"/>
                <w:sz w:val="18"/>
                <w:szCs w:val="18"/>
              </w:rPr>
            </w:pPr>
            <w:r>
              <w:rPr>
                <w:rFonts w:hint="eastAsia" w:ascii="宋体" w:hAnsi="宋体" w:cs="Segoe UI"/>
                <w:b/>
                <w:kern w:val="0"/>
                <w:sz w:val="18"/>
                <w:szCs w:val="18"/>
              </w:rPr>
              <w:t>投标总价</w:t>
            </w:r>
            <w:r>
              <w:rPr>
                <w:rFonts w:hint="eastAsia" w:ascii="宋体" w:hAnsi="宋体" w:cs="Segoe UI"/>
                <w:kern w:val="0"/>
                <w:sz w:val="18"/>
                <w:szCs w:val="18"/>
              </w:rPr>
              <w:t>=单价*预估年度用量之和;</w:t>
            </w:r>
          </w:p>
          <w:p>
            <w:pPr>
              <w:widowControl/>
              <w:numPr>
                <w:ilvl w:val="0"/>
                <w:numId w:val="2"/>
              </w:numPr>
              <w:wordWrap w:val="0"/>
              <w:spacing w:line="270" w:lineRule="atLeast"/>
              <w:jc w:val="left"/>
              <w:rPr>
                <w:rFonts w:ascii="宋体" w:hAnsi="宋体" w:cs="Segoe UI"/>
                <w:kern w:val="0"/>
                <w:sz w:val="18"/>
                <w:szCs w:val="18"/>
                <w:lang w:val="en-US" w:eastAsia="zh-CN" w:bidi="ar-SA"/>
              </w:rPr>
            </w:pPr>
            <w:r>
              <w:rPr>
                <w:rFonts w:hint="eastAsia" w:ascii="宋体" w:hAnsi="宋体" w:cs="宋体"/>
                <w:kern w:val="0"/>
                <w:sz w:val="18"/>
                <w:szCs w:val="18"/>
              </w:rPr>
              <w:t>产品有细分规格且报价不同，则按照同品类平均价计算单价。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89" w:type="pct"/>
            <w:noWrap w:val="0"/>
            <w:vAlign w:val="center"/>
          </w:tcPr>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rPr>
              <w:t>2</w:t>
            </w:r>
          </w:p>
        </w:tc>
        <w:tc>
          <w:tcPr>
            <w:tcW w:w="492" w:type="pct"/>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39</w:t>
            </w:r>
            <w:r>
              <w:rPr>
                <w:rFonts w:hint="eastAsia" w:ascii="宋体" w:hAnsi="宋体" w:cs="Segoe UI"/>
                <w:color w:val="000000"/>
                <w:kern w:val="0"/>
                <w:sz w:val="18"/>
                <w:szCs w:val="18"/>
              </w:rPr>
              <w:t>%</w:t>
            </w:r>
          </w:p>
        </w:tc>
        <w:tc>
          <w:tcPr>
            <w:tcW w:w="237"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39</w:t>
            </w:r>
          </w:p>
        </w:tc>
        <w:tc>
          <w:tcPr>
            <w:tcW w:w="2012" w:type="pct"/>
            <w:noWrap w:val="0"/>
            <w:vAlign w:val="center"/>
          </w:tcPr>
          <w:p>
            <w:pPr>
              <w:widowControl/>
              <w:wordWrap w:val="0"/>
              <w:spacing w:line="270" w:lineRule="atLeast"/>
              <w:jc w:val="left"/>
              <w:rPr>
                <w:rFonts w:ascii="宋体" w:hAnsi="宋体" w:cs="Segoe UI"/>
                <w:kern w:val="0"/>
                <w:sz w:val="18"/>
                <w:szCs w:val="18"/>
                <w:lang w:val="en-US" w:eastAsia="zh-CN" w:bidi="ar-SA"/>
              </w:rPr>
            </w:pPr>
            <w:r>
              <w:rPr>
                <w:rFonts w:hint="eastAsia" w:ascii="宋体" w:hAnsi="宋体" w:cs="宋体"/>
                <w:kern w:val="0"/>
                <w:sz w:val="18"/>
                <w:szCs w:val="18"/>
              </w:rPr>
              <w:t>投标人提供的试剂耗材的技术参数完全符合招标文件要求，没有负偏离得</w:t>
            </w:r>
            <w:r>
              <w:rPr>
                <w:rFonts w:hint="eastAsia" w:ascii="宋体" w:hAnsi="宋体" w:cs="宋体"/>
                <w:kern w:val="0"/>
                <w:sz w:val="18"/>
                <w:szCs w:val="18"/>
                <w:lang w:val="en-US" w:eastAsia="zh-CN"/>
              </w:rPr>
              <w:t>39</w:t>
            </w:r>
            <w:r>
              <w:rPr>
                <w:rFonts w:hint="eastAsia" w:ascii="宋体" w:hAnsi="宋体" w:cs="宋体"/>
                <w:kern w:val="0"/>
                <w:sz w:val="18"/>
                <w:szCs w:val="18"/>
              </w:rPr>
              <w:t>分；非“*”条款技术参数不满足招标文件要求（负偏离），一次扣</w:t>
            </w:r>
            <w:r>
              <w:rPr>
                <w:rFonts w:hint="eastAsia" w:ascii="宋体" w:hAnsi="宋体" w:cs="宋体"/>
                <w:kern w:val="0"/>
                <w:sz w:val="18"/>
                <w:szCs w:val="18"/>
                <w:lang w:val="en-US" w:eastAsia="zh-CN"/>
              </w:rPr>
              <w:t>13</w:t>
            </w:r>
            <w:r>
              <w:rPr>
                <w:rFonts w:hint="eastAsia" w:ascii="宋体" w:hAnsi="宋体" w:cs="宋体"/>
                <w:kern w:val="0"/>
                <w:sz w:val="18"/>
                <w:szCs w:val="18"/>
              </w:rPr>
              <w:t>分，扣完为止。</w:t>
            </w:r>
          </w:p>
        </w:tc>
        <w:tc>
          <w:tcPr>
            <w:tcW w:w="2068" w:type="pct"/>
            <w:noWrap w:val="0"/>
            <w:vAlign w:val="center"/>
          </w:tcPr>
          <w:p>
            <w:pPr>
              <w:widowControl/>
              <w:wordWrap w:val="0"/>
              <w:spacing w:line="270" w:lineRule="atLeast"/>
              <w:jc w:val="left"/>
              <w:rPr>
                <w:rFonts w:ascii="宋体" w:hAnsi="宋体" w:cs="Segoe UI"/>
                <w:kern w:val="0"/>
                <w:sz w:val="18"/>
                <w:szCs w:val="18"/>
                <w:lang w:val="en-US" w:eastAsia="zh-CN" w:bidi="ar-SA"/>
              </w:rPr>
            </w:pPr>
            <w:r>
              <w:rPr>
                <w:rFonts w:hint="eastAsia" w:ascii="宋体" w:hAnsi="宋体" w:cs="Segoe UI"/>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9" w:type="pct"/>
            <w:noWrap w:val="0"/>
            <w:vAlign w:val="center"/>
          </w:tcPr>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rPr>
              <w:t>3</w:t>
            </w:r>
          </w:p>
        </w:tc>
        <w:tc>
          <w:tcPr>
            <w:tcW w:w="492" w:type="pct"/>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样品评分</w:t>
            </w:r>
          </w:p>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rPr>
              <w:t>1</w:t>
            </w:r>
            <w:r>
              <w:rPr>
                <w:rFonts w:hint="eastAsia" w:ascii="宋体" w:hAnsi="宋体" w:cs="Segoe UI"/>
                <w:color w:val="000000"/>
                <w:kern w:val="0"/>
                <w:sz w:val="18"/>
                <w:szCs w:val="18"/>
                <w:lang w:val="en-US" w:eastAsia="zh-CN"/>
              </w:rPr>
              <w:t>0</w:t>
            </w:r>
            <w:r>
              <w:rPr>
                <w:rFonts w:hint="eastAsia" w:ascii="宋体" w:hAnsi="宋体" w:cs="Segoe UI"/>
                <w:color w:val="000000"/>
                <w:kern w:val="0"/>
                <w:sz w:val="18"/>
                <w:szCs w:val="18"/>
              </w:rPr>
              <w:t>%</w:t>
            </w:r>
          </w:p>
        </w:tc>
        <w:tc>
          <w:tcPr>
            <w:tcW w:w="237" w:type="pct"/>
            <w:noWrap w:val="0"/>
            <w:vAlign w:val="center"/>
          </w:tcPr>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rPr>
              <w:t>1</w:t>
            </w:r>
            <w:r>
              <w:rPr>
                <w:rFonts w:hint="eastAsia" w:ascii="宋体" w:hAnsi="宋体" w:cs="Segoe UI"/>
                <w:color w:val="000000"/>
                <w:kern w:val="0"/>
                <w:sz w:val="18"/>
                <w:szCs w:val="18"/>
                <w:lang w:val="en-US" w:eastAsia="zh-CN"/>
              </w:rPr>
              <w:t>0</w:t>
            </w:r>
          </w:p>
        </w:tc>
        <w:tc>
          <w:tcPr>
            <w:tcW w:w="2012" w:type="pct"/>
            <w:noWrap w:val="0"/>
            <w:vAlign w:val="center"/>
          </w:tcPr>
          <w:p>
            <w:pPr>
              <w:wordWrap w:val="0"/>
              <w:spacing w:line="270" w:lineRule="atLeast"/>
              <w:jc w:val="left"/>
              <w:rPr>
                <w:rFonts w:hint="eastAsia" w:ascii="宋体" w:hAnsi="宋体" w:cs="宋体"/>
                <w:kern w:val="0"/>
                <w:sz w:val="18"/>
                <w:szCs w:val="18"/>
                <w:lang w:val="en-US" w:eastAsia="zh-CN" w:bidi="ar-SA"/>
              </w:rPr>
            </w:pPr>
            <w:r>
              <w:rPr>
                <w:rFonts w:hint="eastAsia" w:ascii="宋体" w:hAnsi="宋体" w:cs="宋体"/>
                <w:kern w:val="0"/>
                <w:sz w:val="18"/>
                <w:szCs w:val="18"/>
              </w:rPr>
              <w:t>提供响应产品样品，根据样品的外观、材质、性能、是否符合临床需求等综合评定，优9-1</w:t>
            </w:r>
            <w:r>
              <w:rPr>
                <w:rFonts w:hint="eastAsia" w:ascii="宋体" w:hAnsi="宋体" w:cs="宋体"/>
                <w:kern w:val="0"/>
                <w:sz w:val="18"/>
                <w:szCs w:val="18"/>
                <w:lang w:val="en-US" w:eastAsia="zh-CN"/>
              </w:rPr>
              <w:t>0</w:t>
            </w:r>
            <w:r>
              <w:rPr>
                <w:rFonts w:hint="eastAsia" w:ascii="宋体" w:hAnsi="宋体" w:cs="宋体"/>
                <w:kern w:val="0"/>
                <w:sz w:val="18"/>
                <w:szCs w:val="18"/>
              </w:rPr>
              <w:t>分；良得6-8分；差得1-5分；未提供或提供不全本项不得分。</w:t>
            </w:r>
          </w:p>
        </w:tc>
        <w:tc>
          <w:tcPr>
            <w:tcW w:w="2068" w:type="pct"/>
            <w:noWrap w:val="0"/>
            <w:vAlign w:val="center"/>
          </w:tcPr>
          <w:p>
            <w:pPr>
              <w:wordWrap w:val="0"/>
              <w:spacing w:line="270" w:lineRule="atLeast"/>
              <w:jc w:val="left"/>
              <w:rPr>
                <w:rFonts w:hint="eastAsia" w:ascii="宋体" w:hAnsi="宋体" w:cs="宋体"/>
                <w:kern w:val="0"/>
                <w:sz w:val="18"/>
                <w:szCs w:val="18"/>
                <w:lang w:val="en-US" w:eastAsia="zh-CN" w:bidi="ar-SA"/>
              </w:rPr>
            </w:pPr>
            <w:r>
              <w:rPr>
                <w:rFonts w:hint="eastAsia" w:ascii="宋体" w:hAnsi="宋体" w:cs="宋体"/>
                <w:kern w:val="0"/>
                <w:sz w:val="18"/>
                <w:szCs w:val="18"/>
              </w:rPr>
              <w:t>要求提供的样品</w:t>
            </w:r>
            <w:r>
              <w:rPr>
                <w:rFonts w:hint="eastAsia" w:ascii="宋体" w:hAnsi="宋体" w:cs="宋体"/>
                <w:b/>
                <w:bCs/>
                <w:kern w:val="0"/>
                <w:sz w:val="18"/>
                <w:szCs w:val="18"/>
              </w:rPr>
              <w:t>将品牌LOGO等信息遮住</w:t>
            </w:r>
            <w:r>
              <w:rPr>
                <w:rFonts w:hint="eastAsia" w:ascii="宋体" w:hAnsi="宋体" w:cs="宋体"/>
                <w:kern w:val="0"/>
                <w:sz w:val="18"/>
                <w:szCs w:val="18"/>
              </w:rPr>
              <w:t>。（样品品牌信息遮挡不全不得分）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89" w:type="pct"/>
            <w:noWrap w:val="0"/>
            <w:vAlign w:val="center"/>
          </w:tcPr>
          <w:p>
            <w:pPr>
              <w:widowControl/>
              <w:wordWrap w:val="0"/>
              <w:spacing w:line="270" w:lineRule="atLeast"/>
              <w:jc w:val="center"/>
              <w:rPr>
                <w:rFonts w:hint="eastAsia" w:ascii="宋体" w:hAnsi="宋体" w:cs="Segoe UI"/>
                <w:color w:val="333333"/>
                <w:kern w:val="0"/>
                <w:sz w:val="18"/>
                <w:szCs w:val="18"/>
                <w:lang w:val="en-US" w:eastAsia="zh-CN" w:bidi="ar-SA"/>
              </w:rPr>
            </w:pPr>
            <w:r>
              <w:rPr>
                <w:rFonts w:hint="eastAsia" w:ascii="宋体" w:hAnsi="宋体" w:cs="Segoe UI"/>
                <w:color w:val="000000"/>
                <w:kern w:val="0"/>
                <w:sz w:val="18"/>
                <w:szCs w:val="18"/>
              </w:rPr>
              <w:t>4</w:t>
            </w:r>
          </w:p>
        </w:tc>
        <w:tc>
          <w:tcPr>
            <w:tcW w:w="492" w:type="pct"/>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供应商能力</w:t>
            </w:r>
          </w:p>
          <w:p>
            <w:pPr>
              <w:widowControl/>
              <w:wordWrap w:val="0"/>
              <w:spacing w:line="270" w:lineRule="atLeast"/>
              <w:jc w:val="center"/>
              <w:rPr>
                <w:rFonts w:ascii="宋体" w:hAnsi="宋体" w:cs="Segoe UI"/>
                <w:color w:val="000000"/>
                <w:kern w:val="0"/>
                <w:sz w:val="18"/>
                <w:szCs w:val="18"/>
                <w:lang w:val="en-US" w:eastAsia="zh-CN" w:bidi="ar-SA"/>
              </w:rPr>
            </w:pPr>
            <w:r>
              <w:rPr>
                <w:rFonts w:hint="eastAsia" w:ascii="宋体" w:hAnsi="宋体" w:cs="Segoe UI"/>
                <w:color w:val="000000"/>
                <w:kern w:val="0"/>
                <w:sz w:val="18"/>
                <w:szCs w:val="18"/>
              </w:rPr>
              <w:t>1</w:t>
            </w:r>
            <w:r>
              <w:rPr>
                <w:rFonts w:hint="eastAsia" w:ascii="宋体" w:hAnsi="宋体" w:cs="Segoe UI"/>
                <w:color w:val="000000"/>
                <w:kern w:val="0"/>
                <w:sz w:val="18"/>
                <w:szCs w:val="18"/>
                <w:lang w:val="en-US" w:eastAsia="zh-CN"/>
              </w:rPr>
              <w:t>2</w:t>
            </w:r>
            <w:r>
              <w:rPr>
                <w:rFonts w:hint="eastAsia" w:ascii="宋体" w:hAnsi="宋体" w:cs="Segoe UI"/>
                <w:color w:val="000000"/>
                <w:kern w:val="0"/>
                <w:sz w:val="18"/>
                <w:szCs w:val="18"/>
              </w:rPr>
              <w:t>%</w:t>
            </w:r>
          </w:p>
        </w:tc>
        <w:tc>
          <w:tcPr>
            <w:tcW w:w="237"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rPr>
              <w:t>1</w:t>
            </w:r>
            <w:r>
              <w:rPr>
                <w:rFonts w:hint="eastAsia" w:ascii="宋体" w:hAnsi="宋体" w:cs="Segoe UI"/>
                <w:color w:val="333333"/>
                <w:kern w:val="0"/>
                <w:sz w:val="18"/>
                <w:szCs w:val="18"/>
                <w:lang w:val="en-US" w:eastAsia="zh-CN"/>
              </w:rPr>
              <w:t>2</w:t>
            </w:r>
          </w:p>
        </w:tc>
        <w:tc>
          <w:tcPr>
            <w:tcW w:w="2012" w:type="pct"/>
            <w:noWrap w:val="0"/>
            <w:vAlign w:val="center"/>
          </w:tcPr>
          <w:p>
            <w:pPr>
              <w:widowControl/>
              <w:wordWrap w:val="0"/>
              <w:spacing w:line="270" w:lineRule="atLeast"/>
              <w:jc w:val="left"/>
              <w:rPr>
                <w:rFonts w:hint="eastAsia" w:ascii="宋体" w:hAnsi="宋体" w:eastAsia="宋体" w:cs="宋体"/>
                <w:color w:val="333333"/>
                <w:kern w:val="0"/>
                <w:sz w:val="18"/>
                <w:szCs w:val="18"/>
                <w:lang w:val="en-US" w:eastAsia="zh-CN" w:bidi="ar-SA"/>
              </w:rPr>
            </w:pPr>
            <w:r>
              <w:rPr>
                <w:rFonts w:hint="eastAsia" w:ascii="宋体" w:hAnsi="宋体" w:cs="宋体"/>
                <w:color w:val="000000"/>
                <w:kern w:val="0"/>
                <w:sz w:val="18"/>
                <w:szCs w:val="18"/>
              </w:rPr>
              <w:t>需提供</w:t>
            </w:r>
            <w:r>
              <w:rPr>
                <w:rFonts w:hint="eastAsia" w:ascii="宋体" w:hAnsi="宋体" w:cs="宋体"/>
                <w:b/>
                <w:bCs/>
                <w:color w:val="000000"/>
                <w:kern w:val="0"/>
                <w:sz w:val="18"/>
                <w:szCs w:val="18"/>
              </w:rPr>
              <w:t>投标人</w:t>
            </w:r>
            <w:r>
              <w:rPr>
                <w:rFonts w:hint="eastAsia" w:ascii="宋体" w:hAnsi="宋体" w:cs="宋体"/>
                <w:color w:val="000000"/>
                <w:kern w:val="0"/>
                <w:sz w:val="18"/>
                <w:szCs w:val="18"/>
              </w:rPr>
              <w:t>202</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年以来在国内三甲医疗机构销售</w:t>
            </w:r>
            <w:r>
              <w:rPr>
                <w:rFonts w:hint="eastAsia" w:ascii="宋体" w:hAnsi="宋体" w:cs="宋体"/>
                <w:b/>
                <w:bCs/>
                <w:color w:val="000000"/>
                <w:kern w:val="0"/>
                <w:sz w:val="18"/>
                <w:szCs w:val="18"/>
              </w:rPr>
              <w:t>响应产品</w:t>
            </w:r>
            <w:r>
              <w:rPr>
                <w:rFonts w:hint="eastAsia" w:ascii="宋体" w:hAnsi="宋体" w:cs="宋体"/>
                <w:color w:val="000000"/>
                <w:kern w:val="0"/>
                <w:sz w:val="18"/>
                <w:szCs w:val="18"/>
              </w:rPr>
              <w:t>的业绩证明，每提供1家三甲医疗机构得2分，最多1</w:t>
            </w: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分。</w:t>
            </w:r>
          </w:p>
        </w:tc>
        <w:tc>
          <w:tcPr>
            <w:tcW w:w="2068" w:type="pct"/>
            <w:noWrap w:val="0"/>
            <w:vAlign w:val="center"/>
          </w:tcPr>
          <w:p>
            <w:pPr>
              <w:widowControl/>
              <w:wordWrap w:val="0"/>
              <w:spacing w:line="270" w:lineRule="atLeast"/>
              <w:jc w:val="left"/>
              <w:rPr>
                <w:rFonts w:ascii="宋体" w:hAnsi="宋体" w:cs="宋体"/>
                <w:kern w:val="0"/>
                <w:sz w:val="18"/>
                <w:szCs w:val="18"/>
              </w:rPr>
            </w:pPr>
            <w:r>
              <w:rPr>
                <w:rFonts w:hint="eastAsia" w:ascii="宋体" w:hAnsi="宋体" w:cs="宋体"/>
                <w:kern w:val="0"/>
                <w:sz w:val="18"/>
                <w:szCs w:val="18"/>
              </w:rPr>
              <w:t>需提供以下证明资料如下：</w:t>
            </w:r>
          </w:p>
          <w:p>
            <w:pPr>
              <w:widowControl/>
              <w:wordWrap w:val="0"/>
              <w:spacing w:line="270" w:lineRule="atLeast"/>
              <w:jc w:val="left"/>
              <w:rPr>
                <w:rFonts w:ascii="宋体" w:hAnsi="宋体" w:cs="宋体" w:eastAsiaTheme="minorEastAsia"/>
                <w:kern w:val="0"/>
                <w:sz w:val="18"/>
                <w:szCs w:val="18"/>
              </w:rPr>
            </w:pPr>
            <w:r>
              <w:rPr>
                <w:rFonts w:hint="eastAsia" w:ascii="宋体" w:hAnsi="宋体" w:cs="宋体"/>
                <w:kern w:val="0"/>
                <w:sz w:val="18"/>
                <w:szCs w:val="18"/>
              </w:rPr>
              <w:t>1.合同复印件（说明：合同无产品明细需提供发票复印件，若发票复印件上也无产品明细则需附销货清单）。</w:t>
            </w:r>
          </w:p>
          <w:p>
            <w:pPr>
              <w:widowControl/>
              <w:wordWrap w:val="0"/>
              <w:spacing w:line="270" w:lineRule="atLeast"/>
              <w:jc w:val="left"/>
              <w:rPr>
                <w:rFonts w:hint="eastAsia" w:ascii="宋体" w:hAnsi="宋体" w:eastAsia="宋体" w:cs="Segoe UI"/>
                <w:color w:val="000000"/>
                <w:kern w:val="0"/>
                <w:sz w:val="18"/>
                <w:szCs w:val="18"/>
                <w:lang w:val="en-US" w:eastAsia="zh-CN" w:bidi="ar-SA"/>
              </w:rPr>
            </w:pPr>
            <w:r>
              <w:rPr>
                <w:rFonts w:hint="eastAsia" w:ascii="宋体" w:hAnsi="宋体" w:cs="宋体"/>
                <w:kern w:val="0"/>
                <w:sz w:val="18"/>
                <w:szCs w:val="18"/>
              </w:rPr>
              <w:t>2.三甲医疗机构证明材料。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89" w:type="pct"/>
            <w:noWrap w:val="0"/>
            <w:vAlign w:val="center"/>
          </w:tcPr>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rPr>
              <w:t>5</w:t>
            </w:r>
          </w:p>
        </w:tc>
        <w:tc>
          <w:tcPr>
            <w:tcW w:w="492"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售后服务</w:t>
            </w:r>
          </w:p>
          <w:p>
            <w:pPr>
              <w:widowControl/>
              <w:wordWrap w:val="0"/>
              <w:spacing w:line="270" w:lineRule="atLeast"/>
              <w:jc w:val="center"/>
              <w:rPr>
                <w:rFonts w:ascii="宋体" w:hAnsi="宋体" w:cs="Segoe UI"/>
                <w:color w:val="000000"/>
                <w:kern w:val="0"/>
                <w:sz w:val="18"/>
                <w:szCs w:val="18"/>
                <w:lang w:val="en-US" w:eastAsia="zh-CN" w:bidi="ar-SA"/>
              </w:rPr>
            </w:pPr>
            <w:r>
              <w:rPr>
                <w:rFonts w:hint="eastAsia" w:ascii="宋体" w:hAnsi="宋体" w:cs="宋体"/>
                <w:color w:val="000000"/>
                <w:kern w:val="0"/>
                <w:sz w:val="18"/>
                <w:szCs w:val="18"/>
              </w:rPr>
              <w:t>9%</w:t>
            </w:r>
          </w:p>
        </w:tc>
        <w:tc>
          <w:tcPr>
            <w:tcW w:w="237" w:type="pct"/>
            <w:noWrap w:val="0"/>
            <w:vAlign w:val="center"/>
          </w:tcPr>
          <w:p>
            <w:pPr>
              <w:widowControl/>
              <w:spacing w:line="320" w:lineRule="atLeast"/>
              <w:ind w:left="-105" w:leftChars="0" w:right="-107" w:rightChars="0"/>
              <w:jc w:val="center"/>
              <w:rPr>
                <w:rFonts w:hint="default"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rPr>
              <w:t>9</w:t>
            </w:r>
          </w:p>
        </w:tc>
        <w:tc>
          <w:tcPr>
            <w:tcW w:w="2012" w:type="pct"/>
            <w:noWrap w:val="0"/>
            <w:vAlign w:val="center"/>
          </w:tcPr>
          <w:p>
            <w:pPr>
              <w:wordWrap w:val="0"/>
              <w:jc w:val="left"/>
              <w:rPr>
                <w:rFonts w:hint="default" w:ascii="宋体" w:hAnsi="宋体" w:cs="Segoe UI"/>
                <w:color w:val="000000"/>
                <w:kern w:val="0"/>
                <w:sz w:val="18"/>
                <w:szCs w:val="18"/>
                <w:lang w:val="en-US" w:eastAsia="zh-CN" w:bidi="ar-SA"/>
              </w:rPr>
            </w:pPr>
            <w:r>
              <w:rPr>
                <w:rFonts w:hint="eastAsia" w:ascii="宋体" w:hAnsi="宋体" w:cs="宋体"/>
                <w:kern w:val="0"/>
                <w:sz w:val="18"/>
                <w:szCs w:val="18"/>
                <w:lang w:bidi="ar"/>
              </w:rPr>
              <w:t>根据供应商提供的售后服务方案，包含：①售后流程及响应时间；②缺货应急方案；③产品使用培训计划三个方面进行评审，三方面提供完整且描述详细，符合本项目实际情况、有利于项目实施的得9分。每缺少一项或提供的方案与本项目无关的扣</w:t>
            </w:r>
            <w:r>
              <w:rPr>
                <w:rFonts w:hint="eastAsia" w:ascii="宋体" w:hAnsi="宋体" w:cs="宋体"/>
                <w:kern w:val="0"/>
                <w:sz w:val="18"/>
                <w:szCs w:val="18"/>
                <w:lang w:val="en-US" w:eastAsia="zh-CN" w:bidi="ar"/>
              </w:rPr>
              <w:t>3</w:t>
            </w:r>
            <w:r>
              <w:rPr>
                <w:rFonts w:hint="eastAsia" w:ascii="宋体" w:hAnsi="宋体" w:cs="宋体"/>
                <w:kern w:val="0"/>
                <w:sz w:val="18"/>
                <w:szCs w:val="18"/>
                <w:lang w:bidi="ar"/>
              </w:rPr>
              <w:t>分；每有一项存在缺陷或漏洞的，且不利于项目实施的扣1</w:t>
            </w:r>
            <w:r>
              <w:rPr>
                <w:rFonts w:hint="eastAsia" w:ascii="宋体" w:hAnsi="宋体" w:cs="宋体"/>
                <w:kern w:val="0"/>
                <w:sz w:val="18"/>
                <w:szCs w:val="18"/>
                <w:lang w:val="en-US" w:eastAsia="zh-CN" w:bidi="ar"/>
              </w:rPr>
              <w:t>.5</w:t>
            </w:r>
            <w:r>
              <w:rPr>
                <w:rFonts w:hint="eastAsia" w:ascii="宋体" w:hAnsi="宋体" w:cs="宋体"/>
                <w:kern w:val="0"/>
                <w:sz w:val="18"/>
                <w:szCs w:val="18"/>
                <w:lang w:bidi="ar"/>
              </w:rPr>
              <w:t>分，分值扣完为止。</w:t>
            </w:r>
          </w:p>
        </w:tc>
        <w:tc>
          <w:tcPr>
            <w:tcW w:w="2068" w:type="pct"/>
            <w:noWrap w:val="0"/>
            <w:vAlign w:val="center"/>
          </w:tcPr>
          <w:p>
            <w:pPr>
              <w:wordWrap w:val="0"/>
              <w:jc w:val="left"/>
              <w:rPr>
                <w:rFonts w:ascii="宋体" w:hAnsi="宋体" w:cs="Segoe UI"/>
                <w:color w:val="000000"/>
                <w:kern w:val="0"/>
                <w:sz w:val="18"/>
                <w:szCs w:val="18"/>
                <w:lang w:val="en-US" w:eastAsia="zh-CN" w:bidi="ar-SA"/>
              </w:rPr>
            </w:pPr>
          </w:p>
        </w:tc>
      </w:tr>
    </w:tbl>
    <w:p>
      <w:pPr>
        <w:rPr>
          <w:rFonts w:hint="eastAsia" w:ascii="宋体" w:hAnsi="宋体" w:eastAsia="宋体" w:cs="Segoe UI"/>
          <w:b/>
          <w:bCs/>
          <w:kern w:val="0"/>
          <w:sz w:val="28"/>
          <w:szCs w:val="28"/>
        </w:rPr>
      </w:pPr>
    </w:p>
    <w:p>
      <w:pPr>
        <w:pStyle w:val="2"/>
        <w:rPr>
          <w:rFonts w:hint="eastAsia"/>
        </w:rPr>
      </w:pPr>
    </w:p>
    <w:p>
      <w:pPr>
        <w:shd w:val="clear"/>
      </w:pPr>
    </w:p>
    <w:p>
      <w:pPr>
        <w:widowControl/>
        <w:shd w:val="clear"/>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w:t>
      </w:r>
      <w:r>
        <w:rPr>
          <w:rFonts w:hint="eastAsia" w:ascii="仿宋_GB2312" w:hAnsi="Segoe UI" w:eastAsia="仿宋_GB2312" w:cs="Segoe UI"/>
          <w:b/>
          <w:bCs/>
          <w:color w:val="000000" w:themeColor="text1"/>
          <w:kern w:val="0"/>
          <w:sz w:val="28"/>
          <w:szCs w:val="28"/>
          <w:lang w:val="en-US" w:eastAsia="zh-CN"/>
        </w:rPr>
        <w:t>3</w:t>
      </w:r>
      <w:r>
        <w:rPr>
          <w:rFonts w:hint="eastAsia" w:ascii="仿宋_GB2312" w:hAnsi="Segoe UI" w:eastAsia="仿宋_GB2312" w:cs="Segoe UI"/>
          <w:b/>
          <w:bCs/>
          <w:color w:val="000000" w:themeColor="text1"/>
          <w:kern w:val="0"/>
          <w:sz w:val="28"/>
          <w:szCs w:val="28"/>
        </w:rPr>
        <w:t>：采购报价文件书装订顺序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4、规格型号、配置及偏离表（格式见附件4）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5、承诺函（格式见附件4）</w:t>
      </w:r>
      <w:r>
        <w:rPr>
          <w:rFonts w:hint="eastAsia" w:ascii="仿宋_GB2312" w:hAnsi="Segoe UI" w:eastAsia="仿宋_GB2312" w:cs="Segoe UI"/>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6、企业营业执照（复印件）</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w:t>
      </w:r>
      <w:r>
        <w:rPr>
          <w:rFonts w:hint="eastAsia" w:ascii="仿宋_GB2312" w:hAnsi="Segoe UI" w:eastAsia="仿宋_GB2312" w:cs="Segoe UI"/>
          <w:color w:val="000000" w:themeColor="text1"/>
          <w:kern w:val="0"/>
          <w:sz w:val="24"/>
          <w:szCs w:val="24"/>
        </w:rPr>
        <w:t>组织机构代码证、税务登记证（复印件）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8、法定代表人授权书（原件，格式见附件4）暨经办人授权书，法定代表人、经办人身份证（复印件）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9、生产厂家授权书（投标人不是生产厂家的）</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10、如是医疗器械，须提供“中华人民共和国医疗器械生产企业许可证”和“中华人民共和国医疗器械经营企业许可证”（复印件）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11、如是医疗器械，须提供“医疗器械产品注册证和注册登记表”（复印件）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12、如有产品质量和企业管理体系认证（考核），请提供的有效证明文件的复印或扫描件，质量管理体系认证包括FDA、CE、ISO等认证（提供中文翻译复印件）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14、如有其他证书：产品在技术、节能、安全、环保和自主创新方面获得的认证证书或制造厂家和产品所获国家级荣誉称号等复印或扫描件</w:t>
      </w:r>
      <w:r>
        <w:rPr>
          <w:rFonts w:hint="eastAsia" w:ascii="Segoe UI" w:hAnsi="Segoe UI" w:eastAsia="宋体" w:cs="Segoe UI"/>
          <w:color w:val="000000" w:themeColor="text1"/>
          <w:kern w:val="0"/>
          <w:sz w:val="18"/>
          <w:szCs w:val="18"/>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15、产品如有执行标准请提供相应资料（提供产品注册标准：YZB等资料供评审）</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16、产品质量及货源保证书</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firstLineChars="20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17、售后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18、如有，提供进口原材料证明书或产品报关资料等</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19、产品说明书或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20、业绩证明文件（用户名单及联系人与联系方式，格式见附件4），并提供相应证明文件，要求见评分办法“业绩”说明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21、如有</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国家规定的其它相关资质证明文件或其它涉及特许经营许可的须提供相关证书</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如：卫生许可证、药品经营许可证、生产批件或新药证书等</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22、</w:t>
      </w:r>
      <w:r>
        <w:rPr>
          <w:rFonts w:hint="eastAsia" w:ascii="仿宋_GB2312" w:hAnsi="Segoe UI" w:eastAsia="仿宋_GB2312" w:cs="Segoe UI"/>
          <w:color w:val="000000" w:themeColor="text1"/>
          <w:spacing w:val="8"/>
          <w:kern w:val="0"/>
          <w:sz w:val="24"/>
          <w:szCs w:val="24"/>
        </w:rPr>
        <w:t>如有</w:t>
      </w:r>
      <w:r>
        <w:rPr>
          <w:rFonts w:hint="eastAsia" w:ascii="仿宋_GB2312" w:hAnsi="Segoe UI" w:eastAsia="仿宋_GB2312" w:cs="Segoe UI"/>
          <w:color w:val="000000" w:themeColor="text1"/>
          <w:spacing w:val="8"/>
          <w:kern w:val="0"/>
          <w:sz w:val="24"/>
          <w:szCs w:val="24"/>
          <w:lang w:eastAsia="zh-CN"/>
        </w:rPr>
        <w:t>，</w:t>
      </w:r>
      <w:r>
        <w:rPr>
          <w:rFonts w:hint="eastAsia" w:ascii="仿宋_GB2312" w:hAnsi="Segoe UI" w:eastAsia="仿宋_GB2312" w:cs="Segoe UI"/>
          <w:color w:val="000000" w:themeColor="text1"/>
          <w:spacing w:val="8"/>
          <w:kern w:val="0"/>
          <w:sz w:val="24"/>
          <w:szCs w:val="24"/>
          <w:lang w:val="en-US" w:eastAsia="zh-CN"/>
        </w:rPr>
        <w:t>提</w:t>
      </w:r>
      <w:r>
        <w:rPr>
          <w:rFonts w:hint="eastAsia" w:ascii="仿宋_GB2312" w:hAnsi="Segoe UI" w:eastAsia="仿宋_GB2312" w:cs="Segoe UI"/>
          <w:color w:val="000000" w:themeColor="text1"/>
          <w:kern w:val="0"/>
          <w:sz w:val="24"/>
          <w:szCs w:val="24"/>
        </w:rPr>
        <w:t>供集采平台挂网截图</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23、经办人</w:t>
      </w:r>
      <w:r>
        <w:rPr>
          <w:rFonts w:hint="eastAsia" w:ascii="仿宋_GB2312" w:hAnsi="Segoe UI" w:eastAsia="仿宋_GB2312" w:cs="Segoe UI"/>
          <w:color w:val="000000" w:themeColor="text1"/>
          <w:kern w:val="0"/>
          <w:sz w:val="24"/>
          <w:szCs w:val="24"/>
        </w:rPr>
        <w:t>社保缴纳证明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24、反商业贿赂承诺书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25、无围标、串标行为承诺书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6</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26、供应商遵守招标采购纪律承诺书（格式件附件7）；</w:t>
      </w:r>
    </w:p>
    <w:p>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27、</w:t>
      </w:r>
      <w:r>
        <w:rPr>
          <w:rFonts w:hint="eastAsia" w:ascii="仿宋_GB2312" w:hAnsi="Segoe UI" w:eastAsia="仿宋_GB2312" w:cs="Segoe UI"/>
          <w:color w:val="000000" w:themeColor="text1"/>
          <w:kern w:val="0"/>
          <w:sz w:val="24"/>
          <w:szCs w:val="24"/>
        </w:rPr>
        <w:t>封底。</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shd w:val="clear" w:color="auto"/>
        <w:wordWrap w:val="0"/>
        <w:jc w:val="left"/>
        <w:rPr>
          <w:rFonts w:ascii="Segoe UI" w:hAnsi="Segoe UI" w:eastAsia="宋体" w:cs="Segoe UI"/>
          <w:color w:val="000000" w:themeColor="text1"/>
          <w:kern w:val="0"/>
          <w:sz w:val="18"/>
          <w:szCs w:val="18"/>
        </w:rPr>
      </w:pPr>
    </w:p>
    <w:p>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技术要求偏离表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注：1、此表要求供应商报价文件与采购项目要求一一对应、逐一列出；</w:t>
      </w:r>
    </w:p>
    <w:p>
      <w:pPr>
        <w:widowControl/>
        <w:shd w:val="clear" w:color="auto"/>
        <w:wordWrap w:val="0"/>
        <w:spacing w:line="270" w:lineRule="atLeast"/>
        <w:ind w:firstLine="919" w:firstLineChars="418"/>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2、供应商报价文件中与采购项目要求有负偏离的内容必须在此表中标注，否则视为无效投标。</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3、供应商必须据实填写，不得虚假响应，否则投标无效并按规定追究其相关责任。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服务和商务要求偏离表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注：1、供应商报价文件中与采购项目要求有负偏离的内容必须在此表中列出；如未列出，视为全部响应。</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2、供应商必须据实填写，不得虚假响应，否则投标无效并按规定追究其相关责任。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jc w:val="left"/>
        <w:rPr>
          <w:rFonts w:hint="eastAsia" w:ascii="仿宋_GB2312" w:hAnsi="Segoe UI" w:eastAsia="仿宋_GB2312" w:cs="Segoe UI"/>
          <w:color w:val="000000" w:themeColor="text1"/>
          <w:kern w:val="0"/>
          <w:sz w:val="22"/>
        </w:rPr>
      </w:pPr>
    </w:p>
    <w:p>
      <w:pPr>
        <w:widowControl/>
        <w:shd w:val="clear"/>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附件4-3：</w:t>
      </w:r>
    </w:p>
    <w:p>
      <w:pPr>
        <w:pStyle w:val="3"/>
        <w:tabs>
          <w:tab w:val="left" w:pos="720"/>
        </w:tabs>
        <w:spacing w:line="400" w:lineRule="exact"/>
        <w:jc w:val="center"/>
        <w:rPr>
          <w:rFonts w:ascii="仿宋" w:hAnsi="仿宋" w:eastAsia="仿宋" w:cs="仿宋"/>
        </w:rPr>
      </w:pPr>
      <w:bookmarkStart w:id="2" w:name="_Toc9234"/>
      <w:bookmarkStart w:id="3" w:name="_Toc15614"/>
      <w:bookmarkStart w:id="4" w:name="_Toc21676"/>
      <w:bookmarkStart w:id="5" w:name="_Toc21163"/>
      <w:bookmarkStart w:id="6" w:name="_Toc3414"/>
      <w:r>
        <w:rPr>
          <w:rFonts w:hint="eastAsia" w:ascii="仿宋" w:hAnsi="仿宋" w:eastAsia="仿宋" w:cs="仿宋"/>
          <w:w w:val="95"/>
        </w:rPr>
        <w:t>承诺函</w:t>
      </w:r>
      <w:bookmarkEnd w:id="2"/>
      <w:bookmarkEnd w:id="3"/>
      <w:bookmarkEnd w:id="4"/>
      <w:bookmarkEnd w:id="5"/>
      <w:bookmarkEnd w:id="6"/>
    </w:p>
    <w:p>
      <w:pPr>
        <w:spacing w:line="360" w:lineRule="auto"/>
        <w:outlineLvl w:val="1"/>
        <w:rPr>
          <w:rFonts w:hint="eastAsia" w:ascii="仿宋" w:hAnsi="仿宋" w:eastAsia="仿宋" w:cs="仿宋"/>
          <w:sz w:val="22"/>
        </w:rPr>
      </w:pPr>
      <w:bookmarkStart w:id="7" w:name="_Toc60"/>
      <w:bookmarkStart w:id="8" w:name="_Toc30275"/>
      <w:bookmarkStart w:id="9" w:name="_Toc12490"/>
      <w:bookmarkStart w:id="10" w:name="_Toc11076"/>
      <w:bookmarkStart w:id="11" w:name="_Toc10689"/>
      <w:bookmarkStart w:id="12" w:name="_Toc5208"/>
      <w:bookmarkStart w:id="13" w:name="_Toc5499"/>
      <w:bookmarkStart w:id="14" w:name="_Toc30494"/>
      <w:bookmarkStart w:id="15" w:name="_Toc14802"/>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pPr>
        <w:spacing w:line="360" w:lineRule="auto"/>
        <w:ind w:firstLine="440" w:firstLineChars="200"/>
        <w:outlineLvl w:val="1"/>
        <w:rPr>
          <w:rFonts w:hint="eastAsia" w:ascii="仿宋" w:hAnsi="仿宋" w:eastAsia="仿宋" w:cs="仿宋"/>
          <w:sz w:val="22"/>
        </w:rPr>
      </w:pPr>
      <w:bookmarkStart w:id="16" w:name="_Toc26481"/>
      <w:bookmarkStart w:id="17" w:name="_Toc30724"/>
      <w:bookmarkStart w:id="18" w:name="_Toc3081"/>
      <w:bookmarkStart w:id="19" w:name="_Toc28103"/>
      <w:bookmarkStart w:id="20" w:name="_Toc7067"/>
      <w:bookmarkStart w:id="21" w:name="_Toc32214"/>
      <w:bookmarkStart w:id="22" w:name="_Toc10183"/>
      <w:bookmarkStart w:id="23" w:name="_Toc9131"/>
      <w:bookmarkStart w:id="24" w:name="_Toc10948"/>
      <w:bookmarkStart w:id="25" w:name="_Toc3912"/>
      <w:bookmarkStart w:id="26" w:name="_Toc13021"/>
      <w:bookmarkStart w:id="27" w:name="_Toc18879"/>
      <w:bookmarkStart w:id="28" w:name="_Toc8717"/>
      <w:bookmarkStart w:id="29" w:name="_Toc30080"/>
      <w:bookmarkStart w:id="30" w:name="_Toc18513"/>
      <w:bookmarkStart w:id="31" w:name="_Toc19115"/>
      <w:bookmarkStart w:id="32" w:name="_Toc3392"/>
      <w:bookmarkStart w:id="33" w:name="_Toc3447"/>
      <w:r>
        <w:rPr>
          <w:rFonts w:hint="eastAsia" w:ascii="仿宋_GB2312" w:hAnsi="Segoe UI" w:eastAsia="仿宋_GB2312" w:cs="Segoe UI"/>
          <w:color w:val="000000" w:themeColor="text1"/>
          <w:kern w:val="0"/>
          <w:sz w:val="22"/>
        </w:rPr>
        <w:t>我方作为本</w:t>
      </w:r>
      <w:r>
        <w:rPr>
          <w:rFonts w:hint="eastAsia" w:ascii="仿宋" w:hAnsi="仿宋" w:eastAsia="仿宋" w:cs="仿宋"/>
          <w:sz w:val="22"/>
        </w:rPr>
        <w:t>次采购项目的供应商，根据文件要求，现郑重承诺如下：</w:t>
      </w:r>
      <w:bookmarkEnd w:id="16"/>
      <w:bookmarkEnd w:id="17"/>
      <w:bookmarkEnd w:id="18"/>
      <w:bookmarkEnd w:id="19"/>
      <w:bookmarkEnd w:id="20"/>
      <w:bookmarkEnd w:id="21"/>
      <w:bookmarkEnd w:id="22"/>
      <w:bookmarkEnd w:id="23"/>
      <w:bookmarkEnd w:id="24"/>
      <w:bookmarkEnd w:id="25"/>
      <w:bookmarkEnd w:id="26"/>
    </w:p>
    <w:bookmarkEnd w:id="27"/>
    <w:bookmarkEnd w:id="28"/>
    <w:bookmarkEnd w:id="29"/>
    <w:bookmarkEnd w:id="30"/>
    <w:bookmarkEnd w:id="31"/>
    <w:bookmarkEnd w:id="32"/>
    <w:bookmarkEnd w:id="33"/>
    <w:p>
      <w:pPr>
        <w:spacing w:line="440" w:lineRule="exact"/>
        <w:ind w:firstLine="440" w:firstLineChars="200"/>
        <w:outlineLvl w:val="1"/>
        <w:rPr>
          <w:rFonts w:hint="eastAsia" w:ascii="仿宋" w:hAnsi="仿宋" w:eastAsia="仿宋" w:cs="仿宋"/>
          <w:sz w:val="22"/>
        </w:rPr>
      </w:pPr>
      <w:bookmarkStart w:id="34" w:name="_Toc30920"/>
      <w:bookmarkStart w:id="35" w:name="_Toc9042"/>
      <w:bookmarkStart w:id="36" w:name="_Toc15196"/>
      <w:bookmarkStart w:id="37" w:name="_Toc30649"/>
      <w:bookmarkStart w:id="38" w:name="_Toc7249"/>
      <w:bookmarkStart w:id="39" w:name="_Toc18259"/>
      <w:bookmarkStart w:id="40" w:name="_Toc10142"/>
      <w:bookmarkStart w:id="41" w:name="_Toc22795"/>
      <w:bookmarkStart w:id="42" w:name="_Toc23645"/>
      <w:bookmarkStart w:id="43" w:name="_Toc23557"/>
      <w:bookmarkStart w:id="44" w:name="_Toc14004"/>
      <w:r>
        <w:rPr>
          <w:rFonts w:hint="eastAsia" w:ascii="仿宋" w:hAnsi="仿宋" w:eastAsia="仿宋" w:cs="仿宋"/>
          <w:sz w:val="22"/>
        </w:rPr>
        <w:t>（1）我公司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独立承担民事责任的能力；</w:t>
      </w:r>
      <w:bookmarkEnd w:id="34"/>
      <w:bookmarkEnd w:id="35"/>
      <w:bookmarkEnd w:id="36"/>
      <w:bookmarkEnd w:id="37"/>
      <w:bookmarkEnd w:id="38"/>
      <w:bookmarkEnd w:id="39"/>
      <w:bookmarkEnd w:id="40"/>
      <w:bookmarkEnd w:id="41"/>
      <w:bookmarkEnd w:id="42"/>
    </w:p>
    <w:p>
      <w:pPr>
        <w:spacing w:line="440" w:lineRule="exact"/>
        <w:ind w:firstLine="440" w:firstLineChars="200"/>
        <w:outlineLvl w:val="1"/>
        <w:rPr>
          <w:rFonts w:hint="eastAsia" w:ascii="仿宋" w:hAnsi="仿宋" w:eastAsia="仿宋" w:cs="仿宋"/>
          <w:sz w:val="22"/>
        </w:rPr>
      </w:pPr>
      <w:bookmarkStart w:id="45" w:name="_Toc30083"/>
      <w:bookmarkStart w:id="46" w:name="_Toc19600"/>
      <w:bookmarkStart w:id="47" w:name="_Toc3534"/>
      <w:bookmarkStart w:id="48" w:name="_Toc21988"/>
      <w:bookmarkStart w:id="49" w:name="_Toc3004"/>
      <w:bookmarkStart w:id="50" w:name="_Toc25516"/>
      <w:bookmarkStart w:id="51" w:name="_Toc24117"/>
      <w:bookmarkStart w:id="52" w:name="_Toc4775"/>
      <w:bookmarkStart w:id="53" w:name="_Toc26548"/>
      <w:r>
        <w:rPr>
          <w:rFonts w:hint="eastAsia" w:ascii="仿宋" w:hAnsi="仿宋" w:eastAsia="仿宋" w:cs="仿宋"/>
          <w:sz w:val="22"/>
        </w:rPr>
        <w:t>（2）我公司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良好的商业信誉和健全的财务会计制度；</w:t>
      </w:r>
      <w:bookmarkEnd w:id="43"/>
      <w:bookmarkEnd w:id="44"/>
      <w:bookmarkEnd w:id="45"/>
      <w:bookmarkEnd w:id="46"/>
      <w:bookmarkEnd w:id="47"/>
      <w:bookmarkEnd w:id="48"/>
      <w:bookmarkEnd w:id="49"/>
      <w:bookmarkEnd w:id="50"/>
      <w:bookmarkEnd w:id="51"/>
      <w:bookmarkEnd w:id="52"/>
      <w:bookmarkEnd w:id="53"/>
    </w:p>
    <w:p>
      <w:pPr>
        <w:spacing w:line="440" w:lineRule="exact"/>
        <w:ind w:firstLine="440" w:firstLineChars="200"/>
        <w:outlineLvl w:val="1"/>
        <w:rPr>
          <w:rFonts w:hint="eastAsia" w:ascii="仿宋" w:hAnsi="仿宋" w:eastAsia="仿宋" w:cs="仿宋"/>
          <w:sz w:val="22"/>
        </w:rPr>
      </w:pPr>
      <w:bookmarkStart w:id="54" w:name="_Toc12333"/>
      <w:bookmarkStart w:id="55" w:name="_Toc32166"/>
      <w:bookmarkStart w:id="56" w:name="_Toc691"/>
      <w:bookmarkStart w:id="57" w:name="_Toc3494"/>
      <w:bookmarkStart w:id="58" w:name="_Toc16666"/>
      <w:bookmarkStart w:id="59" w:name="_Toc27376"/>
      <w:bookmarkStart w:id="60" w:name="_Toc21982"/>
      <w:bookmarkStart w:id="61" w:name="_Toc22198"/>
      <w:bookmarkStart w:id="62" w:name="_Toc23192"/>
      <w:bookmarkStart w:id="63" w:name="_Toc14887"/>
      <w:bookmarkStart w:id="64" w:name="_Toc16764"/>
      <w:r>
        <w:rPr>
          <w:rFonts w:hint="eastAsia" w:ascii="仿宋" w:hAnsi="仿宋" w:eastAsia="仿宋" w:cs="仿宋"/>
          <w:sz w:val="22"/>
        </w:rPr>
        <w:t>（3）我公司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履行合同所必需的设备和专业技术能力；</w:t>
      </w:r>
      <w:bookmarkEnd w:id="54"/>
      <w:bookmarkEnd w:id="55"/>
      <w:bookmarkEnd w:id="56"/>
      <w:bookmarkEnd w:id="57"/>
      <w:bookmarkEnd w:id="58"/>
      <w:bookmarkEnd w:id="59"/>
      <w:bookmarkEnd w:id="60"/>
      <w:bookmarkEnd w:id="61"/>
      <w:bookmarkEnd w:id="62"/>
      <w:bookmarkEnd w:id="63"/>
      <w:bookmarkEnd w:id="64"/>
    </w:p>
    <w:p>
      <w:pPr>
        <w:spacing w:line="440" w:lineRule="exact"/>
        <w:ind w:firstLine="440" w:firstLineChars="200"/>
        <w:outlineLvl w:val="1"/>
        <w:rPr>
          <w:rFonts w:hint="eastAsia" w:ascii="仿宋" w:hAnsi="仿宋" w:eastAsia="仿宋" w:cs="仿宋"/>
          <w:sz w:val="22"/>
        </w:rPr>
      </w:pPr>
      <w:bookmarkStart w:id="65" w:name="_Toc1371"/>
      <w:bookmarkStart w:id="66" w:name="_Toc22606"/>
      <w:bookmarkStart w:id="67" w:name="_Toc14269"/>
      <w:bookmarkStart w:id="68" w:name="_Toc25068"/>
      <w:bookmarkStart w:id="69" w:name="_Toc5412"/>
      <w:bookmarkStart w:id="70" w:name="_Toc11914"/>
      <w:bookmarkStart w:id="71" w:name="_Toc3943"/>
      <w:bookmarkStart w:id="72" w:name="_Toc9263"/>
      <w:bookmarkStart w:id="73" w:name="_Toc10013"/>
      <w:bookmarkStart w:id="74" w:name="_Toc4577"/>
      <w:bookmarkStart w:id="75" w:name="_Toc31581"/>
      <w:r>
        <w:rPr>
          <w:rFonts w:hint="eastAsia" w:ascii="仿宋" w:hAnsi="仿宋" w:eastAsia="仿宋" w:cs="仿宋"/>
          <w:sz w:val="22"/>
        </w:rPr>
        <w:t>（4）我公司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依法缴纳税收和社会保障资金的良好记录；</w:t>
      </w:r>
      <w:bookmarkEnd w:id="65"/>
      <w:bookmarkEnd w:id="66"/>
      <w:bookmarkEnd w:id="67"/>
      <w:bookmarkEnd w:id="68"/>
      <w:bookmarkEnd w:id="69"/>
      <w:bookmarkEnd w:id="70"/>
      <w:bookmarkEnd w:id="71"/>
      <w:bookmarkEnd w:id="72"/>
      <w:bookmarkEnd w:id="73"/>
      <w:bookmarkEnd w:id="74"/>
      <w:bookmarkEnd w:id="75"/>
    </w:p>
    <w:p>
      <w:pPr>
        <w:spacing w:line="440" w:lineRule="exact"/>
        <w:ind w:firstLine="440" w:firstLineChars="200"/>
        <w:outlineLvl w:val="1"/>
        <w:rPr>
          <w:rFonts w:hint="eastAsia" w:ascii="仿宋" w:hAnsi="仿宋" w:eastAsia="仿宋" w:cs="仿宋"/>
          <w:sz w:val="22"/>
        </w:rPr>
      </w:pPr>
      <w:bookmarkStart w:id="76" w:name="_Toc2316"/>
      <w:bookmarkStart w:id="77" w:name="_Toc13267"/>
      <w:bookmarkStart w:id="78" w:name="_Toc13677"/>
      <w:bookmarkStart w:id="79" w:name="_Toc11489"/>
      <w:bookmarkStart w:id="80" w:name="_Toc18935"/>
      <w:bookmarkStart w:id="81" w:name="_Toc3908"/>
      <w:bookmarkStart w:id="82" w:name="_Toc2937"/>
      <w:bookmarkStart w:id="83" w:name="_Toc29190"/>
      <w:bookmarkStart w:id="84" w:name="_Toc31890"/>
      <w:bookmarkStart w:id="85" w:name="_Toc17108"/>
      <w:bookmarkStart w:id="86" w:name="_Toc10600"/>
      <w:r>
        <w:rPr>
          <w:rFonts w:hint="eastAsia" w:ascii="仿宋" w:hAnsi="仿宋" w:eastAsia="仿宋" w:cs="仿宋"/>
          <w:sz w:val="22"/>
        </w:rPr>
        <w:t>（5）参加本次采购活动前三年内，我公司在经营活动中</w:t>
      </w:r>
      <w:r>
        <w:rPr>
          <w:rFonts w:hint="eastAsia" w:ascii="仿宋" w:hAnsi="仿宋" w:eastAsia="仿宋" w:cs="仿宋"/>
          <w:b/>
          <w:sz w:val="22"/>
          <w:u w:val="single"/>
        </w:rPr>
        <w:t>（说明：填写“没有”或“有”）</w:t>
      </w:r>
      <w:r>
        <w:rPr>
          <w:rFonts w:hint="eastAsia" w:ascii="仿宋" w:hAnsi="仿宋" w:eastAsia="仿宋" w:cs="仿宋"/>
          <w:sz w:val="22"/>
        </w:rPr>
        <w:t>重大违法记录(供应商成立不足三年的，从成立之日起计算)；</w:t>
      </w:r>
      <w:bookmarkEnd w:id="76"/>
      <w:bookmarkEnd w:id="77"/>
      <w:bookmarkEnd w:id="78"/>
      <w:bookmarkEnd w:id="79"/>
      <w:bookmarkEnd w:id="80"/>
      <w:bookmarkEnd w:id="81"/>
      <w:bookmarkEnd w:id="82"/>
      <w:bookmarkEnd w:id="83"/>
      <w:bookmarkEnd w:id="84"/>
      <w:bookmarkEnd w:id="85"/>
      <w:bookmarkEnd w:id="86"/>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（6）我公司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法律、行政法规规定的其他条件</w:t>
      </w:r>
      <w:r>
        <w:rPr>
          <w:rFonts w:hint="eastAsia" w:ascii="仿宋" w:hAnsi="仿宋" w:eastAsia="仿宋" w:cs="仿宋"/>
          <w:color w:val="000000"/>
          <w:sz w:val="22"/>
        </w:rPr>
        <w:t>（本项目无法律、</w:t>
      </w:r>
      <w:r>
        <w:rPr>
          <w:rFonts w:hint="eastAsia" w:ascii="仿宋" w:hAnsi="仿宋" w:eastAsia="仿宋" w:cs="仿宋"/>
          <w:sz w:val="22"/>
        </w:rPr>
        <w:t>行政法规规定的其他条件）；</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（7）我公司</w:t>
      </w:r>
      <w:r>
        <w:rPr>
          <w:rFonts w:hint="eastAsia" w:ascii="仿宋" w:hAnsi="仿宋" w:eastAsia="仿宋" w:cs="仿宋"/>
          <w:b/>
          <w:sz w:val="22"/>
          <w:u w:val="single"/>
        </w:rPr>
        <w:t>（说明：填写“能够”或“不能够”</w:t>
      </w:r>
      <w:r>
        <w:rPr>
          <w:rFonts w:hint="eastAsia" w:ascii="仿宋" w:hAnsi="仿宋" w:eastAsia="仿宋" w:cs="仿宋"/>
          <w:sz w:val="22"/>
          <w:u w:val="single"/>
        </w:rPr>
        <w:t>）</w:t>
      </w:r>
      <w:r>
        <w:rPr>
          <w:rFonts w:hint="eastAsia" w:ascii="仿宋" w:hAnsi="仿宋" w:eastAsia="仿宋" w:cs="仿宋"/>
          <w:sz w:val="22"/>
        </w:rPr>
        <w:t>按照采购人要求及时签署合同，按照购销合同规定的品牌、产地、质量、价格、规格、有效期及时供货。</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（8）我公司所有投标品种报价不高于四川省内其他地市中标价格或医院近两年的历史采购最低价格（受“集采挂网”等国家、地方政策原因影响除外）。</w:t>
      </w:r>
    </w:p>
    <w:p>
      <w:pPr>
        <w:spacing w:line="440" w:lineRule="exact"/>
        <w:ind w:firstLine="440" w:firstLineChars="200"/>
        <w:outlineLvl w:val="1"/>
        <w:rPr>
          <w:rFonts w:hint="eastAsia" w:ascii="仿宋" w:hAnsi="仿宋" w:eastAsia="仿宋" w:cs="仿宋"/>
          <w:sz w:val="22"/>
        </w:rPr>
      </w:pPr>
      <w:bookmarkStart w:id="87" w:name="_Toc14252"/>
      <w:bookmarkStart w:id="88" w:name="_Toc32365"/>
      <w:bookmarkStart w:id="89" w:name="_Toc1313"/>
      <w:bookmarkStart w:id="90" w:name="_Toc12088"/>
      <w:bookmarkStart w:id="91" w:name="_Toc26756"/>
      <w:bookmarkStart w:id="92" w:name="_Toc31638"/>
      <w:bookmarkStart w:id="93" w:name="_Toc15916"/>
      <w:bookmarkStart w:id="94" w:name="_Toc24122"/>
      <w:bookmarkStart w:id="95" w:name="_Toc21351"/>
      <w:r>
        <w:rPr>
          <w:rFonts w:hint="eastAsia" w:ascii="仿宋" w:hAnsi="仿宋" w:eastAsia="仿宋" w:cs="仿宋"/>
          <w:sz w:val="22"/>
        </w:rPr>
        <w:t>本公司对上述承诺的内容事项真实性负责。如经查实上述承诺的内容事项存在虚假，我公司愿意接受以提供虚假材料谋取中标追究法律责任。</w:t>
      </w:r>
      <w:bookmarkEnd w:id="87"/>
      <w:bookmarkEnd w:id="88"/>
      <w:bookmarkEnd w:id="89"/>
      <w:bookmarkEnd w:id="90"/>
      <w:bookmarkEnd w:id="91"/>
      <w:bookmarkEnd w:id="92"/>
      <w:bookmarkEnd w:id="93"/>
      <w:bookmarkEnd w:id="94"/>
      <w:bookmarkEnd w:id="95"/>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bCs/>
          <w:color w:val="000000"/>
          <w:sz w:val="22"/>
        </w:rPr>
        <w:t xml:space="preserve">                      </w:t>
      </w:r>
      <w:bookmarkStart w:id="96" w:name="_Toc28267"/>
    </w:p>
    <w:bookmarkEnd w:id="96"/>
    <w:p>
      <w:pPr>
        <w:spacing w:line="360" w:lineRule="auto"/>
        <w:ind w:firstLine="440" w:firstLineChars="200"/>
        <w:rPr>
          <w:rFonts w:hint="eastAsia" w:ascii="仿宋" w:hAnsi="仿宋" w:eastAsia="仿宋" w:cs="仿宋"/>
          <w:sz w:val="22"/>
        </w:rPr>
      </w:pPr>
      <w:r>
        <w:rPr>
          <w:rFonts w:hint="eastAsia" w:ascii="仿宋" w:hAnsi="仿宋" w:eastAsia="仿宋" w:cs="仿宋"/>
          <w:sz w:val="22"/>
        </w:rPr>
        <w:t xml:space="preserve"> </w:t>
      </w:r>
      <w:bookmarkStart w:id="97" w:name="_Toc18046"/>
      <w:bookmarkStart w:id="98" w:name="_Toc27985"/>
      <w:bookmarkStart w:id="99" w:name="_Toc15083"/>
      <w:bookmarkStart w:id="100" w:name="_Toc15894"/>
      <w:bookmarkStart w:id="101" w:name="_Toc23212"/>
      <w:bookmarkStart w:id="102" w:name="_Toc26609"/>
      <w:bookmarkStart w:id="103" w:name="_Toc29215"/>
      <w:bookmarkStart w:id="104" w:name="_Toc10583"/>
      <w:bookmarkStart w:id="105" w:name="_Toc11278"/>
      <w:bookmarkStart w:id="106" w:name="_Toc27948"/>
      <w:bookmarkStart w:id="107" w:name="_Toc9398"/>
      <w:bookmarkStart w:id="108" w:name="_Toc19589"/>
      <w:bookmarkStart w:id="109" w:name="_Toc22760"/>
      <w:r>
        <w:rPr>
          <w:rFonts w:hint="eastAsia" w:ascii="仿宋" w:hAnsi="仿宋" w:eastAsia="仿宋" w:cs="仿宋"/>
          <w:sz w:val="22"/>
        </w:rPr>
        <w:t>供应商单位名称：</w:t>
      </w:r>
      <w:r>
        <w:rPr>
          <w:rFonts w:hint="eastAsia" w:ascii="仿宋" w:hAnsi="仿宋" w:eastAsia="仿宋" w:cs="仿宋"/>
          <w:sz w:val="22"/>
          <w:u w:val="single"/>
        </w:rPr>
        <w:t xml:space="preserve">                             </w:t>
      </w:r>
      <w:r>
        <w:rPr>
          <w:rFonts w:hint="eastAsia" w:ascii="仿宋" w:hAnsi="仿宋" w:eastAsia="仿宋" w:cs="仿宋"/>
          <w:sz w:val="22"/>
        </w:rPr>
        <w:t>（单位公章）</w:t>
      </w:r>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360" w:lineRule="auto"/>
        <w:ind w:firstLine="440" w:firstLineChars="200"/>
        <w:outlineLvl w:val="1"/>
        <w:rPr>
          <w:rFonts w:hint="eastAsia" w:ascii="仿宋" w:hAnsi="仿宋" w:eastAsia="仿宋" w:cs="仿宋"/>
          <w:sz w:val="22"/>
        </w:rPr>
      </w:pPr>
      <w:bookmarkStart w:id="110" w:name="_Toc17204"/>
      <w:bookmarkStart w:id="111" w:name="_Toc4116"/>
      <w:bookmarkStart w:id="112" w:name="_Toc757"/>
      <w:bookmarkStart w:id="113" w:name="_Toc29648"/>
      <w:bookmarkStart w:id="114" w:name="_Toc17741"/>
      <w:bookmarkStart w:id="115" w:name="_Toc24671"/>
      <w:bookmarkStart w:id="116" w:name="_Toc14546"/>
      <w:bookmarkStart w:id="117" w:name="_Toc24107"/>
      <w:bookmarkStart w:id="118" w:name="_Toc8083"/>
      <w:bookmarkStart w:id="119" w:name="_Toc8940"/>
      <w:bookmarkStart w:id="120" w:name="_Toc27767"/>
      <w:bookmarkStart w:id="121" w:name="_Toc8348"/>
      <w:bookmarkStart w:id="122" w:name="_Toc24655"/>
      <w:r>
        <w:rPr>
          <w:rFonts w:hint="eastAsia" w:ascii="仿宋" w:hAnsi="仿宋" w:eastAsia="仿宋" w:cs="仿宋"/>
          <w:sz w:val="22"/>
        </w:rPr>
        <w:t>法定代表人或授权代表签字：</w:t>
      </w:r>
      <w:r>
        <w:rPr>
          <w:rFonts w:hint="eastAsia" w:ascii="仿宋" w:hAnsi="仿宋" w:eastAsia="仿宋" w:cs="仿宋"/>
          <w:sz w:val="22"/>
          <w:u w:val="single"/>
        </w:rPr>
        <w:t xml:space="preserve">             </w:t>
      </w:r>
      <w:r>
        <w:rPr>
          <w:rFonts w:hint="eastAsia" w:ascii="仿宋" w:hAnsi="仿宋" w:eastAsia="仿宋" w:cs="仿宋"/>
          <w:sz w:val="22"/>
        </w:rPr>
        <w:t>（签字或加盖个人名章）</w:t>
      </w:r>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ind w:firstLine="440" w:firstLineChars="200"/>
        <w:outlineLvl w:val="1"/>
        <w:rPr>
          <w:rFonts w:hint="eastAsia" w:ascii="仿宋" w:hAnsi="仿宋" w:eastAsia="仿宋" w:cs="仿宋"/>
          <w:sz w:val="22"/>
        </w:rPr>
      </w:pPr>
      <w:bookmarkStart w:id="123" w:name="_Toc5840"/>
      <w:bookmarkStart w:id="124" w:name="_Toc10950"/>
      <w:bookmarkStart w:id="125" w:name="_Toc12682"/>
      <w:bookmarkStart w:id="126" w:name="_Toc10945"/>
      <w:bookmarkStart w:id="127" w:name="_Toc24280"/>
      <w:bookmarkStart w:id="128" w:name="_Toc14781"/>
      <w:bookmarkStart w:id="129" w:name="_Toc10308"/>
      <w:bookmarkStart w:id="130" w:name="_Toc22243"/>
      <w:bookmarkStart w:id="131" w:name="_Toc15917"/>
      <w:bookmarkStart w:id="132" w:name="_Toc20745"/>
      <w:bookmarkStart w:id="133" w:name="_Toc2003"/>
      <w:bookmarkStart w:id="134" w:name="_Toc8524"/>
      <w:r>
        <w:rPr>
          <w:rFonts w:hint="eastAsia" w:ascii="仿宋" w:hAnsi="仿宋" w:eastAsia="仿宋" w:cs="仿宋"/>
          <w:sz w:val="22"/>
        </w:rPr>
        <w:t>日    期：</w:t>
      </w:r>
      <w:bookmarkEnd w:id="123"/>
      <w:bookmarkEnd w:id="124"/>
      <w:bookmarkEnd w:id="125"/>
      <w:bookmarkEnd w:id="126"/>
      <w:bookmarkEnd w:id="127"/>
      <w:bookmarkEnd w:id="128"/>
      <w:bookmarkEnd w:id="129"/>
      <w:bookmarkEnd w:id="130"/>
      <w:bookmarkEnd w:id="131"/>
      <w:bookmarkEnd w:id="132"/>
      <w:bookmarkEnd w:id="133"/>
      <w:bookmarkEnd w:id="134"/>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br w:type="page"/>
      </w:r>
    </w:p>
    <w:p>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p>
    <w:p>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720" w:num="1"/>
          <w:docGrid w:type="lines" w:linePitch="312" w:charSpace="0"/>
        </w:sect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附件4-5：</w:t>
      </w:r>
    </w:p>
    <w:p>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693"/>
        <w:gridCol w:w="970"/>
        <w:gridCol w:w="970"/>
        <w:gridCol w:w="1252"/>
        <w:gridCol w:w="949"/>
        <w:gridCol w:w="2083"/>
        <w:gridCol w:w="1138"/>
        <w:gridCol w:w="790"/>
      </w:tblGrid>
      <w:tr>
        <w:tblPrEx>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70"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color w:val="000000" w:themeColor="text1"/>
                <w:kern w:val="0"/>
                <w:sz w:val="24"/>
                <w:szCs w:val="24"/>
              </w:rPr>
            </w:pPr>
          </w:p>
          <w:p>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rPr>
              <w:t>备注</w:t>
            </w:r>
          </w:p>
        </w:tc>
      </w:tr>
      <w:tr>
        <w:tblPrEx>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00" w:hRule="atLeast"/>
          <w:jc w:val="center"/>
        </w:trPr>
        <w:tc>
          <w:tcPr>
            <w:tcW w:w="14168" w:type="dxa"/>
            <w:gridSpan w:val="1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pPr>
        <w:widowControl/>
        <w:shd w:val="clear" w:color="auto"/>
        <w:wordWrap w:val="0"/>
        <w:jc w:val="left"/>
        <w:rPr>
          <w:rFonts w:ascii="仿宋_GB2312" w:hAnsi="Segoe UI" w:eastAsia="仿宋_GB2312" w:cs="Segoe UI"/>
          <w:color w:val="000000" w:themeColor="text1"/>
          <w:kern w:val="0"/>
          <w:sz w:val="24"/>
          <w:szCs w:val="24"/>
        </w:rPr>
      </w:pP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法定代表人或授权代表（签字）：日期：</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720" w:num="1"/>
          <w:docGrid w:type="linesAndChars" w:linePitch="312" w:charSpace="0"/>
        </w:sectPr>
      </w:pPr>
    </w:p>
    <w:p>
      <w:pPr>
        <w:widowControl/>
        <w:shd w:val="clear" w:color="auto"/>
        <w:wordWrap w:val="0"/>
        <w:ind w:left="720" w:hanging="720"/>
        <w:jc w:val="left"/>
        <w:rPr>
          <w:rFonts w:hint="eastAsia" w:ascii="仿宋_GB2312" w:hAnsi="Segoe UI" w:eastAsia="仿宋_GB2312" w:cs="Segoe UI"/>
          <w:b/>
          <w:bCs/>
          <w:color w:val="000000" w:themeColor="text1"/>
          <w:kern w:val="0"/>
          <w:sz w:val="24"/>
          <w:szCs w:val="24"/>
        </w:rPr>
      </w:pPr>
    </w:p>
    <w:p>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被</w:t>
      </w:r>
      <w:r>
        <w:rPr>
          <w:rFonts w:hint="eastAsia" w:ascii="仿宋_GB2312" w:hAnsi="Segoe UI" w:eastAsia="仿宋_GB2312" w:cs="Segoe UI"/>
          <w:color w:val="000000" w:themeColor="text1"/>
          <w:kern w:val="0"/>
          <w:sz w:val="24"/>
          <w:szCs w:val="24"/>
        </w:rPr>
        <w:t>授权代表签字：</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wordWrap w:val="0"/>
        <w:spacing w:line="270" w:lineRule="atLeast"/>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承诺企业名称（公章）法人代表或委托代理人（承诺人）</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）采购活动中，无以下围标、串标行为：</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after="0" w:line="120" w:lineRule="auto"/>
        <w:rPr>
          <w:rFonts w:hint="eastAsia"/>
          <w:sz w:val="28"/>
          <w:szCs w:val="28"/>
        </w:rPr>
      </w:pPr>
    </w:p>
    <w:p>
      <w:pPr>
        <w:pStyle w:val="2"/>
        <w:spacing w:after="0"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r>
        <w:rPr>
          <w:rFonts w:hint="eastAsia" w:ascii="仿宋_GB2312" w:hAnsi="Segoe UI" w:eastAsia="仿宋_GB2312" w:cs="Segoe UI"/>
          <w:b/>
          <w:bCs/>
          <w:color w:val="000000" w:themeColor="text1"/>
          <w:kern w:val="0"/>
          <w:sz w:val="24"/>
          <w:szCs w:val="24"/>
          <w:lang w:val="en-US" w:eastAsia="zh-CN"/>
        </w:rPr>
        <w:t>附件7：供应商遵守招标采购纪律承诺书</w:t>
      </w:r>
    </w:p>
    <w:p>
      <w:pPr>
        <w:pStyle w:val="2"/>
        <w:ind w:firstLine="2811" w:firstLineChars="1000"/>
        <w:jc w:val="left"/>
        <w:rPr>
          <w:rFonts w:hint="eastAsia" w:ascii="仿宋_GB2312" w:hAnsi="仿宋_GB2312" w:eastAsia="仿宋_GB2312" w:cs="仿宋_GB2312"/>
          <w:b/>
          <w:bCs/>
          <w:sz w:val="28"/>
          <w:szCs w:val="28"/>
        </w:rPr>
      </w:pPr>
    </w:p>
    <w:p>
      <w:pPr>
        <w:pStyle w:val="2"/>
        <w:ind w:firstLine="2811" w:firstLineChars="10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sz w:val="28"/>
          <w:szCs w:val="28"/>
        </w:rPr>
        <w:t>供应商遵守招标采购纪律承诺书</w:t>
      </w:r>
      <w:r>
        <w:rPr>
          <w:rFonts w:ascii="FZXBSJW--GB1-0" w:hAnsi="FZXBSJW--GB1-0" w:eastAsia="FZXBSJW--GB1-0" w:cs="FZXBSJW--GB1-0"/>
          <w:b w:val="0"/>
          <w:i w:val="0"/>
          <w:color w:val="000000"/>
          <w:sz w:val="44"/>
          <w:szCs w:val="44"/>
        </w:rPr>
        <w:br w:type="textWrapping"/>
      </w:r>
      <w:r>
        <w:rPr>
          <w:rFonts w:hint="eastAsia" w:ascii="仿宋_GB2312" w:hAnsi="仿宋_GB2312" w:eastAsia="仿宋_GB2312" w:cs="仿宋_GB2312"/>
          <w:kern w:val="2"/>
          <w:sz w:val="28"/>
          <w:szCs w:val="28"/>
          <w:lang w:val="en-US" w:eastAsia="zh-CN" w:bidi="ar-SA"/>
        </w:rPr>
        <w:t>致四川省妇幼保健院：</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我单位作为本次采购项目的供应商，根据响应文件要求，现郑重承诺如下：</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一、参加本次采购活动，我单位不存在与单位负责人为同一人或者存在直接控股、管理关系的其他供应商参与同一合同项下的采购活动的行为。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二、参加本次采购活动，不得直接或者间接从采购人或者采购代理机构处获得其他供应商的相关情况并修改其投标文件或者响应文件。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三、参加本次采购活动，不得按照采购人的授意撤换、修改投标文件或者响应文件。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四、参加本次采购活动，不得和本次采购供应商之间协商报价、技术方案等投标文件或者响应文件的实质性内容。</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五、本次采购活动中，不存在属于同一集团、协会、商会等组织成员的供应商按照该组织要求协同参加本次采购活动。</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六、参加本次采购活动，不存在与其他供应商之间事先约定由某一特定供应商中标、成交。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七、参加本次采购活动，不存在与其他供应商商定部分供应商放弃参加采购活动或者放弃中标、成交。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八、参加本次采购活动，不存在我单位的投标文件或者响应文件由其他参与本项目的单位或个人编制或委托办理投标事宜。</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九、参加本次采购活动，不存在我单位与采购人之间、供应商相互之间，为谋求特定供应商中标、成交或者排斥其他供应商的其他串通行为。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十、与我方存在直接控股关系的单位为：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 存在管理关系单位为：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供应商名称（单位公章）：</w:t>
      </w:r>
    </w:p>
    <w:p>
      <w:pPr>
        <w:pStyle w:val="2"/>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投标人法人代表或委托代理人</w:t>
      </w:r>
      <w:r>
        <w:rPr>
          <w:rFonts w:hint="eastAsia" w:ascii="仿宋_GB2312" w:hAnsi="仿宋_GB2312" w:eastAsia="仿宋_GB2312" w:cs="仿宋_GB2312"/>
          <w:kern w:val="2"/>
          <w:sz w:val="28"/>
          <w:szCs w:val="28"/>
          <w:lang w:val="en-US" w:eastAsia="zh-CN" w:bidi="ar-SA"/>
        </w:rPr>
        <w:t>（签字或加盖个人名章） ：</w:t>
      </w:r>
    </w:p>
    <w:p>
      <w:pPr>
        <w:rPr>
          <w:rFonts w:hint="eastAsia"/>
        </w:rPr>
      </w:pPr>
      <w:r>
        <w:rPr>
          <w:rFonts w:hint="eastAsia" w:ascii="仿宋_GB2312" w:hAnsi="仿宋_GB2312" w:eastAsia="仿宋_GB2312" w:cs="仿宋_GB2312"/>
          <w:kern w:val="2"/>
          <w:sz w:val="28"/>
          <w:szCs w:val="28"/>
          <w:lang w:val="en-US" w:eastAsia="zh-CN" w:bidi="ar-SA"/>
        </w:rPr>
        <w:t xml:space="preserve">    日期：     年    月    日</w:t>
      </w:r>
      <w:r>
        <w:rPr>
          <w:rFonts w:hint="eastAsia" w:ascii="仿宋_GB2312" w:hAnsi="仿宋_GB2312" w:eastAsia="仿宋_GB2312" w:cs="仿宋_GB2312"/>
          <w:kern w:val="2"/>
          <w:sz w:val="28"/>
          <w:szCs w:val="28"/>
          <w:lang w:val="en-US" w:eastAsia="zh-CN" w:bidi="ar-SA"/>
        </w:rPr>
        <w:br w:type="textWrapping"/>
      </w:r>
    </w:p>
    <w:p>
      <w:pPr>
        <w:pStyle w:val="2"/>
        <w:spacing w:after="0" w:line="120" w:lineRule="auto"/>
        <w:ind w:firstLine="480" w:firstLineChars="200"/>
        <w:rPr>
          <w:rFonts w:hint="eastAsia" w:ascii="仿宋_GB2312" w:hAnsi="Segoe UI" w:eastAsia="仿宋_GB2312" w:cs="Segoe UI"/>
          <w:color w:val="000000" w:themeColor="text1"/>
          <w:kern w:val="0"/>
          <w:sz w:val="24"/>
          <w:szCs w:val="24"/>
        </w:rPr>
      </w:pP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FZXBSJW--GB1-0">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BC51"/>
    <w:multiLevelType w:val="singleLevel"/>
    <w:tmpl w:val="0723BC51"/>
    <w:lvl w:ilvl="0" w:tentative="0">
      <w:start w:val="1"/>
      <w:numFmt w:val="decimal"/>
      <w:lvlText w:val="%1."/>
      <w:lvlJc w:val="left"/>
      <w:pPr>
        <w:tabs>
          <w:tab w:val="left" w:pos="312"/>
        </w:tabs>
      </w:pPr>
    </w:lvl>
  </w:abstractNum>
  <w:abstractNum w:abstractNumId="1">
    <w:nsid w:val="4F861DF8"/>
    <w:multiLevelType w:val="multilevel"/>
    <w:tmpl w:val="4F861DF8"/>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7394E"/>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22669F2"/>
    <w:rsid w:val="053A5330"/>
    <w:rsid w:val="07953CAB"/>
    <w:rsid w:val="07B925A7"/>
    <w:rsid w:val="0BF815CE"/>
    <w:rsid w:val="0E911C5D"/>
    <w:rsid w:val="10954EC2"/>
    <w:rsid w:val="12A81059"/>
    <w:rsid w:val="13485B4A"/>
    <w:rsid w:val="14456F80"/>
    <w:rsid w:val="195D2073"/>
    <w:rsid w:val="1A37043E"/>
    <w:rsid w:val="1D7F6F17"/>
    <w:rsid w:val="228C2840"/>
    <w:rsid w:val="26D9225C"/>
    <w:rsid w:val="272816FC"/>
    <w:rsid w:val="27C574A7"/>
    <w:rsid w:val="28203DA9"/>
    <w:rsid w:val="2E811DD5"/>
    <w:rsid w:val="357C4381"/>
    <w:rsid w:val="364F4E7F"/>
    <w:rsid w:val="365344A5"/>
    <w:rsid w:val="38BB478A"/>
    <w:rsid w:val="396510AC"/>
    <w:rsid w:val="3A8239FC"/>
    <w:rsid w:val="3ED3727D"/>
    <w:rsid w:val="3F8F70D9"/>
    <w:rsid w:val="405F3E1B"/>
    <w:rsid w:val="41EE0E8D"/>
    <w:rsid w:val="434A6550"/>
    <w:rsid w:val="4669398D"/>
    <w:rsid w:val="48983A5D"/>
    <w:rsid w:val="4AE36A9A"/>
    <w:rsid w:val="4B7A520A"/>
    <w:rsid w:val="4C5E41EC"/>
    <w:rsid w:val="4EE10A0C"/>
    <w:rsid w:val="51CB3FD0"/>
    <w:rsid w:val="52D04152"/>
    <w:rsid w:val="53914C7E"/>
    <w:rsid w:val="5536063D"/>
    <w:rsid w:val="55F211D3"/>
    <w:rsid w:val="56183BA8"/>
    <w:rsid w:val="577B25E6"/>
    <w:rsid w:val="57963D28"/>
    <w:rsid w:val="5C452678"/>
    <w:rsid w:val="5FEC0FA4"/>
    <w:rsid w:val="60795DD8"/>
    <w:rsid w:val="61DB5EE7"/>
    <w:rsid w:val="62FA0171"/>
    <w:rsid w:val="637366D0"/>
    <w:rsid w:val="63E72E68"/>
    <w:rsid w:val="64ED5044"/>
    <w:rsid w:val="65C660EF"/>
    <w:rsid w:val="65DA011F"/>
    <w:rsid w:val="66D20681"/>
    <w:rsid w:val="672843F4"/>
    <w:rsid w:val="6A052BEC"/>
    <w:rsid w:val="6A38583D"/>
    <w:rsid w:val="6C0F1984"/>
    <w:rsid w:val="6CF82393"/>
    <w:rsid w:val="701306BF"/>
    <w:rsid w:val="710D63F2"/>
    <w:rsid w:val="716610EA"/>
    <w:rsid w:val="71D57369"/>
    <w:rsid w:val="75233D75"/>
    <w:rsid w:val="77490A08"/>
    <w:rsid w:val="78BA1DAC"/>
    <w:rsid w:val="799A6260"/>
    <w:rsid w:val="7ADF7723"/>
    <w:rsid w:val="7C560E66"/>
    <w:rsid w:val="7DFC578F"/>
    <w:rsid w:val="7F35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19"/>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fontstyle01"/>
    <w:basedOn w:val="14"/>
    <w:qFormat/>
    <w:uiPriority w:val="0"/>
    <w:rPr>
      <w:rFonts w:ascii="SegoeUI" w:hAnsi="SegoeUI" w:eastAsia="SegoeUI" w:cs="SegoeUI"/>
      <w:color w:val="333333"/>
      <w:sz w:val="16"/>
      <w:szCs w:val="16"/>
    </w:rPr>
  </w:style>
  <w:style w:type="character" w:customStyle="1" w:styleId="23">
    <w:name w:val="fontstyle11"/>
    <w:basedOn w:val="14"/>
    <w:qFormat/>
    <w:uiPriority w:val="0"/>
    <w:rPr>
      <w:rFonts w:ascii="MicrosoftYaHei" w:hAnsi="MicrosoftYaHei" w:eastAsia="MicrosoftYaHei" w:cs="MicrosoftYaHei"/>
      <w:color w:val="333333"/>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1</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卢</cp:lastModifiedBy>
  <dcterms:modified xsi:type="dcterms:W3CDTF">2024-05-15T01:51:11Z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