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8B55B" w14:textId="194B0456" w:rsidR="00E4494A" w:rsidRDefault="00E4494A" w:rsidP="00E4494A">
      <w:pPr>
        <w:pStyle w:val="a5"/>
        <w:ind w:firstLine="420"/>
        <w:jc w:val="center"/>
        <w:rPr>
          <w:rFonts w:ascii="微软雅黑" w:eastAsia="微软雅黑" w:hAnsi="微软雅黑"/>
          <w:b/>
          <w:bCs/>
          <w:sz w:val="30"/>
          <w:szCs w:val="30"/>
        </w:rPr>
      </w:pPr>
      <w:r w:rsidRPr="00E4494A">
        <w:rPr>
          <w:rFonts w:ascii="微软雅黑" w:eastAsia="微软雅黑" w:hAnsi="微软雅黑" w:hint="eastAsia"/>
          <w:b/>
          <w:bCs/>
          <w:sz w:val="30"/>
          <w:szCs w:val="30"/>
        </w:rPr>
        <w:t>服务器监控与预警系统</w:t>
      </w:r>
      <w:r>
        <w:rPr>
          <w:rFonts w:ascii="微软雅黑" w:eastAsia="微软雅黑" w:hAnsi="微软雅黑" w:hint="eastAsia"/>
          <w:b/>
          <w:bCs/>
          <w:sz w:val="30"/>
          <w:szCs w:val="30"/>
        </w:rPr>
        <w:t>招标参数</w:t>
      </w:r>
    </w:p>
    <w:p w14:paraId="67709C45" w14:textId="15E9DC64" w:rsidR="00143529" w:rsidRDefault="00143529" w:rsidP="00143529">
      <w:pPr>
        <w:pStyle w:val="a5"/>
        <w:ind w:firstLine="420"/>
        <w:rPr>
          <w:rFonts w:hAnsi="宋体" w:cs="宋体"/>
        </w:rPr>
      </w:pPr>
      <w:r>
        <w:rPr>
          <w:rFonts w:hAnsi="宋体" w:cs="宋体" w:hint="eastAsia"/>
          <w:b/>
          <w:sz w:val="24"/>
          <w:szCs w:val="21"/>
        </w:rPr>
        <w:t>前提：本章中标注“★”号的条款为本项目的实质性要求，供应商应全部满足，否</w:t>
      </w:r>
      <w:r>
        <w:rPr>
          <w:rFonts w:hAnsi="宋体" w:cs="宋体" w:hint="eastAsia"/>
          <w:b/>
          <w:sz w:val="24"/>
          <w:szCs w:val="21"/>
          <w:u w:val="single"/>
        </w:rPr>
        <w:t>则</w:t>
      </w:r>
      <w:r>
        <w:rPr>
          <w:rFonts w:hAnsi="宋体" w:cs="宋体" w:hint="eastAsia"/>
          <w:b/>
          <w:sz w:val="24"/>
          <w:szCs w:val="21"/>
        </w:rPr>
        <w:t>其投标文件作无效处理。</w:t>
      </w:r>
    </w:p>
    <w:p w14:paraId="749EF60A" w14:textId="77777777" w:rsidR="00143529" w:rsidRDefault="00143529" w:rsidP="00143529">
      <w:pPr>
        <w:pStyle w:val="af4"/>
        <w:numPr>
          <w:ilvl w:val="0"/>
          <w:numId w:val="3"/>
        </w:numPr>
        <w:adjustRightInd w:val="0"/>
        <w:spacing w:beforeLines="100" w:before="240" w:afterLines="50" w:after="120" w:line="300" w:lineRule="exact"/>
        <w:ind w:left="0" w:firstLine="0"/>
        <w:outlineLvl w:val="0"/>
        <w:rPr>
          <w:rFonts w:ascii="宋体" w:hAnsi="宋体" w:cs="宋体"/>
          <w:b/>
          <w:color w:val="000000"/>
          <w:sz w:val="32"/>
          <w:szCs w:val="32"/>
        </w:rPr>
      </w:pPr>
      <w:r>
        <w:rPr>
          <w:rFonts w:ascii="宋体" w:hAnsi="宋体" w:cs="宋体" w:hint="eastAsia"/>
          <w:b/>
          <w:color w:val="000000"/>
          <w:sz w:val="32"/>
          <w:szCs w:val="32"/>
        </w:rPr>
        <w:t>预算及采购清单</w:t>
      </w:r>
    </w:p>
    <w:p w14:paraId="1151C530" w14:textId="77777777" w:rsidR="00143529" w:rsidRDefault="00143529" w:rsidP="00143529">
      <w:pPr>
        <w:pStyle w:val="af4"/>
        <w:adjustRightInd w:val="0"/>
        <w:spacing w:beforeLines="50" w:before="120" w:afterLines="50" w:after="120" w:line="300" w:lineRule="exact"/>
        <w:outlineLvl w:val="0"/>
        <w:rPr>
          <w:rFonts w:ascii="宋体" w:hAnsi="宋体" w:cs="宋体"/>
          <w:b/>
          <w:color w:val="000000"/>
          <w:sz w:val="32"/>
          <w:szCs w:val="32"/>
        </w:rPr>
      </w:pPr>
    </w:p>
    <w:p w14:paraId="0906771E" w14:textId="0D92375B" w:rsidR="00143529" w:rsidRDefault="00143529" w:rsidP="00143529">
      <w:pPr>
        <w:pStyle w:val="af4"/>
        <w:numPr>
          <w:ilvl w:val="0"/>
          <w:numId w:val="4"/>
        </w:numPr>
        <w:tabs>
          <w:tab w:val="left" w:pos="-108"/>
        </w:tabs>
        <w:adjustRightInd w:val="0"/>
        <w:spacing w:beforeLines="50" w:before="120" w:afterLines="50" w:after="120" w:line="300" w:lineRule="exact"/>
        <w:ind w:left="0" w:firstLineChars="200" w:firstLine="420"/>
        <w:jc w:val="left"/>
        <w:outlineLvl w:val="0"/>
        <w:rPr>
          <w:rFonts w:ascii="宋体" w:hAnsi="宋体" w:cs="宋体"/>
          <w:bCs/>
          <w:color w:val="000000"/>
          <w:szCs w:val="28"/>
        </w:rPr>
      </w:pPr>
      <w:r>
        <w:rPr>
          <w:rFonts w:ascii="宋体" w:hAnsi="宋体" w:cs="宋体" w:hint="eastAsia"/>
          <w:bCs/>
          <w:color w:val="000000"/>
          <w:szCs w:val="28"/>
        </w:rPr>
        <w:t>项目总预算：</w:t>
      </w:r>
      <w:r>
        <w:rPr>
          <w:rFonts w:ascii="宋体" w:hAnsi="宋体" w:cs="宋体"/>
          <w:bCs/>
          <w:color w:val="000000"/>
          <w:szCs w:val="28"/>
        </w:rPr>
        <w:t>9.8</w:t>
      </w:r>
      <w:r>
        <w:rPr>
          <w:rFonts w:ascii="宋体" w:hAnsi="宋体" w:cs="宋体" w:hint="eastAsia"/>
          <w:bCs/>
          <w:color w:val="000000"/>
          <w:szCs w:val="28"/>
        </w:rPr>
        <w:t>万元</w:t>
      </w:r>
    </w:p>
    <w:p w14:paraId="5814619C" w14:textId="1CAF8D5C" w:rsidR="00143529" w:rsidRPr="00143529" w:rsidRDefault="00143529" w:rsidP="00143529">
      <w:pPr>
        <w:pStyle w:val="af4"/>
        <w:numPr>
          <w:ilvl w:val="0"/>
          <w:numId w:val="4"/>
        </w:numPr>
        <w:tabs>
          <w:tab w:val="left" w:pos="-108"/>
        </w:tabs>
        <w:adjustRightInd w:val="0"/>
        <w:spacing w:beforeLines="50" w:before="120" w:afterLines="50" w:after="120" w:line="300" w:lineRule="exact"/>
        <w:ind w:left="0" w:firstLineChars="200" w:firstLine="420"/>
        <w:jc w:val="left"/>
        <w:outlineLvl w:val="0"/>
        <w:rPr>
          <w:rFonts w:ascii="宋体" w:hAnsi="宋体" w:cs="宋体"/>
          <w:bCs/>
          <w:color w:val="000000"/>
          <w:szCs w:val="28"/>
        </w:rPr>
      </w:pPr>
      <w:r>
        <w:rPr>
          <w:rFonts w:ascii="宋体" w:hAnsi="宋体" w:cs="宋体" w:hint="eastAsia"/>
          <w:bCs/>
          <w:color w:val="000000"/>
          <w:szCs w:val="28"/>
        </w:rPr>
        <w:t>最高限价：</w:t>
      </w:r>
      <w:r>
        <w:rPr>
          <w:rFonts w:ascii="宋体" w:hAnsi="宋体" w:cs="宋体"/>
          <w:bCs/>
          <w:color w:val="000000"/>
          <w:szCs w:val="28"/>
        </w:rPr>
        <w:t>9.8</w:t>
      </w:r>
      <w:r>
        <w:rPr>
          <w:rFonts w:ascii="宋体" w:hAnsi="宋体" w:cs="宋体" w:hint="eastAsia"/>
          <w:bCs/>
          <w:color w:val="000000"/>
          <w:szCs w:val="28"/>
        </w:rPr>
        <w:t>万元</w:t>
      </w:r>
    </w:p>
    <w:p w14:paraId="20F181DA" w14:textId="77777777" w:rsidR="00143529" w:rsidRDefault="00143529" w:rsidP="00143529">
      <w:pPr>
        <w:pStyle w:val="af4"/>
        <w:numPr>
          <w:ilvl w:val="0"/>
          <w:numId w:val="4"/>
        </w:numPr>
        <w:tabs>
          <w:tab w:val="left" w:pos="-108"/>
        </w:tabs>
        <w:adjustRightInd w:val="0"/>
        <w:spacing w:beforeLines="50" w:before="120" w:afterLines="50" w:after="120" w:line="300" w:lineRule="exact"/>
        <w:ind w:left="0" w:firstLineChars="200" w:firstLine="420"/>
        <w:jc w:val="left"/>
        <w:outlineLvl w:val="0"/>
        <w:rPr>
          <w:rFonts w:ascii="宋体" w:hAnsi="宋体" w:cs="宋体"/>
          <w:bCs/>
          <w:color w:val="000000"/>
          <w:szCs w:val="28"/>
        </w:rPr>
      </w:pPr>
      <w:r>
        <w:rPr>
          <w:rFonts w:ascii="宋体" w:hAnsi="宋体" w:cs="宋体" w:hint="eastAsia"/>
          <w:bCs/>
          <w:color w:val="000000"/>
          <w:szCs w:val="28"/>
        </w:rPr>
        <w:t>采购清单</w:t>
      </w:r>
    </w:p>
    <w:tbl>
      <w:tblPr>
        <w:tblW w:w="7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
        <w:gridCol w:w="3956"/>
        <w:gridCol w:w="1134"/>
        <w:gridCol w:w="999"/>
      </w:tblGrid>
      <w:tr w:rsidR="00143529" w14:paraId="241C4843" w14:textId="77777777" w:rsidTr="00AE2C24">
        <w:trPr>
          <w:trHeight w:val="580"/>
          <w:jc w:val="center"/>
        </w:trPr>
        <w:tc>
          <w:tcPr>
            <w:tcW w:w="930" w:type="dxa"/>
            <w:shd w:val="clear" w:color="auto" w:fill="auto"/>
            <w:vAlign w:val="center"/>
          </w:tcPr>
          <w:p w14:paraId="6C0F5C6A" w14:textId="77777777" w:rsidR="00143529" w:rsidRDefault="00143529" w:rsidP="00AE2C24">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序号</w:t>
            </w:r>
          </w:p>
        </w:tc>
        <w:tc>
          <w:tcPr>
            <w:tcW w:w="3956" w:type="dxa"/>
            <w:shd w:val="clear" w:color="auto" w:fill="auto"/>
            <w:vAlign w:val="center"/>
          </w:tcPr>
          <w:p w14:paraId="24592EA5" w14:textId="77777777" w:rsidR="00143529" w:rsidRDefault="00143529" w:rsidP="00AE2C24">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标的名称</w:t>
            </w:r>
          </w:p>
        </w:tc>
        <w:tc>
          <w:tcPr>
            <w:tcW w:w="1134" w:type="dxa"/>
            <w:shd w:val="clear" w:color="auto" w:fill="auto"/>
            <w:vAlign w:val="center"/>
          </w:tcPr>
          <w:p w14:paraId="0C5F2538" w14:textId="77777777" w:rsidR="00143529" w:rsidRDefault="00143529" w:rsidP="00AE2C24">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单位</w:t>
            </w:r>
          </w:p>
        </w:tc>
        <w:tc>
          <w:tcPr>
            <w:tcW w:w="999" w:type="dxa"/>
            <w:shd w:val="clear" w:color="auto" w:fill="auto"/>
            <w:vAlign w:val="center"/>
          </w:tcPr>
          <w:p w14:paraId="39238E71" w14:textId="77777777" w:rsidR="00143529" w:rsidRDefault="00143529" w:rsidP="00AE2C24">
            <w:pPr>
              <w:widowControl/>
              <w:adjustRightInd w:val="0"/>
              <w:snapToGrid w:val="0"/>
              <w:spacing w:line="300" w:lineRule="exact"/>
              <w:contextualSpacing/>
              <w:jc w:val="center"/>
              <w:rPr>
                <w:rFonts w:ascii="宋体" w:hAnsi="宋体" w:cs="宋体"/>
                <w:b/>
                <w:bCs/>
                <w:color w:val="000000"/>
                <w:kern w:val="0"/>
                <w:szCs w:val="21"/>
              </w:rPr>
            </w:pPr>
            <w:r>
              <w:rPr>
                <w:rFonts w:ascii="宋体" w:hAnsi="宋体" w:cs="宋体" w:hint="eastAsia"/>
                <w:b/>
                <w:bCs/>
                <w:color w:val="000000"/>
                <w:kern w:val="0"/>
                <w:szCs w:val="21"/>
              </w:rPr>
              <w:t>数量</w:t>
            </w:r>
          </w:p>
        </w:tc>
      </w:tr>
      <w:tr w:rsidR="00143529" w14:paraId="09EABA3B" w14:textId="77777777" w:rsidTr="00AE2C24">
        <w:trPr>
          <w:trHeight w:val="90"/>
          <w:jc w:val="center"/>
        </w:trPr>
        <w:tc>
          <w:tcPr>
            <w:tcW w:w="930" w:type="dxa"/>
            <w:shd w:val="clear" w:color="auto" w:fill="auto"/>
            <w:vAlign w:val="center"/>
          </w:tcPr>
          <w:p w14:paraId="6C0D098E" w14:textId="77777777" w:rsidR="00143529" w:rsidRDefault="00143529" w:rsidP="00AE2C24">
            <w:pPr>
              <w:pStyle w:val="af4"/>
              <w:widowControl/>
              <w:adjustRightInd w:val="0"/>
              <w:snapToGrid w:val="0"/>
              <w:spacing w:line="300" w:lineRule="exact"/>
              <w:jc w:val="center"/>
              <w:rPr>
                <w:rFonts w:ascii="宋体" w:hAnsi="宋体" w:cs="宋体"/>
                <w:color w:val="000000"/>
                <w:kern w:val="0"/>
                <w:szCs w:val="21"/>
              </w:rPr>
            </w:pPr>
            <w:r>
              <w:rPr>
                <w:rFonts w:ascii="宋体" w:hAnsi="宋体" w:cs="宋体" w:hint="eastAsia"/>
                <w:color w:val="000000"/>
                <w:kern w:val="0"/>
                <w:szCs w:val="21"/>
              </w:rPr>
              <w:t>1</w:t>
            </w:r>
          </w:p>
        </w:tc>
        <w:tc>
          <w:tcPr>
            <w:tcW w:w="3956" w:type="dxa"/>
            <w:shd w:val="clear" w:color="auto" w:fill="auto"/>
            <w:vAlign w:val="center"/>
          </w:tcPr>
          <w:p w14:paraId="4B3476E9" w14:textId="1ACDFC61" w:rsidR="00143529" w:rsidRPr="00F44049" w:rsidRDefault="003C2947" w:rsidP="00AE2C24">
            <w:pPr>
              <w:pStyle w:val="2"/>
              <w:adjustRightInd w:val="0"/>
              <w:snapToGrid w:val="0"/>
              <w:jc w:val="center"/>
              <w:rPr>
                <w:rFonts w:ascii="宋体" w:eastAsia="宋体" w:hAnsi="宋体" w:cs="宋体"/>
                <w:b w:val="0"/>
                <w:bCs w:val="0"/>
                <w:kern w:val="0"/>
                <w:sz w:val="21"/>
                <w:szCs w:val="21"/>
              </w:rPr>
            </w:pPr>
            <w:r w:rsidRPr="003C2947">
              <w:rPr>
                <w:rFonts w:ascii="宋体" w:eastAsia="宋体" w:hAnsi="宋体" w:cs="宋体" w:hint="eastAsia"/>
                <w:b w:val="0"/>
                <w:bCs w:val="0"/>
                <w:kern w:val="0"/>
                <w:sz w:val="21"/>
                <w:szCs w:val="21"/>
              </w:rPr>
              <w:t>服务器监控与预警系统</w:t>
            </w:r>
          </w:p>
        </w:tc>
        <w:tc>
          <w:tcPr>
            <w:tcW w:w="1134" w:type="dxa"/>
            <w:shd w:val="clear" w:color="auto" w:fill="auto"/>
            <w:vAlign w:val="center"/>
          </w:tcPr>
          <w:p w14:paraId="36C298E5" w14:textId="77777777" w:rsidR="00143529" w:rsidRPr="00F44049" w:rsidRDefault="00143529" w:rsidP="00AE2C24">
            <w:pPr>
              <w:widowControl/>
              <w:adjustRightInd w:val="0"/>
              <w:snapToGrid w:val="0"/>
              <w:spacing w:line="300" w:lineRule="exact"/>
              <w:contextualSpacing/>
              <w:jc w:val="center"/>
              <w:rPr>
                <w:rFonts w:ascii="宋体" w:hAnsi="宋体" w:cs="宋体"/>
                <w:kern w:val="0"/>
                <w:szCs w:val="21"/>
              </w:rPr>
            </w:pPr>
            <w:r>
              <w:rPr>
                <w:rFonts w:ascii="宋体" w:hAnsi="宋体" w:cs="宋体" w:hint="eastAsia"/>
                <w:kern w:val="0"/>
                <w:szCs w:val="21"/>
              </w:rPr>
              <w:t>套</w:t>
            </w:r>
          </w:p>
        </w:tc>
        <w:tc>
          <w:tcPr>
            <w:tcW w:w="999" w:type="dxa"/>
            <w:shd w:val="clear" w:color="auto" w:fill="auto"/>
            <w:vAlign w:val="center"/>
          </w:tcPr>
          <w:p w14:paraId="62705145" w14:textId="7DD5D892" w:rsidR="00143529" w:rsidRDefault="00DD2D51" w:rsidP="00AE2C24">
            <w:pPr>
              <w:widowControl/>
              <w:adjustRightInd w:val="0"/>
              <w:snapToGrid w:val="0"/>
              <w:spacing w:line="300" w:lineRule="exact"/>
              <w:contextualSpacing/>
              <w:jc w:val="center"/>
              <w:rPr>
                <w:rFonts w:ascii="宋体" w:hAnsi="宋体" w:cs="宋体"/>
                <w:color w:val="000000"/>
                <w:kern w:val="0"/>
                <w:szCs w:val="21"/>
              </w:rPr>
            </w:pPr>
            <w:r>
              <w:rPr>
                <w:rFonts w:ascii="宋体" w:hAnsi="宋体" w:cs="宋体"/>
                <w:color w:val="000000"/>
                <w:kern w:val="0"/>
                <w:szCs w:val="21"/>
              </w:rPr>
              <w:t>1</w:t>
            </w:r>
          </w:p>
        </w:tc>
      </w:tr>
    </w:tbl>
    <w:p w14:paraId="10465D44" w14:textId="29CC38F7" w:rsidR="00143529" w:rsidRPr="00E4494A" w:rsidRDefault="00E4494A" w:rsidP="00143529">
      <w:pPr>
        <w:pStyle w:val="af4"/>
        <w:numPr>
          <w:ilvl w:val="0"/>
          <w:numId w:val="3"/>
        </w:numPr>
        <w:adjustRightInd w:val="0"/>
        <w:spacing w:beforeLines="100" w:before="240" w:afterLines="50" w:after="120" w:line="300" w:lineRule="exact"/>
        <w:ind w:left="0" w:firstLine="0"/>
        <w:outlineLvl w:val="0"/>
        <w:rPr>
          <w:rFonts w:ascii="宋体" w:hAnsi="宋体" w:cs="宋体"/>
          <w:b/>
          <w:color w:val="000000"/>
          <w:sz w:val="32"/>
          <w:szCs w:val="32"/>
        </w:rPr>
      </w:pPr>
      <w:r w:rsidRPr="00E4494A">
        <w:rPr>
          <w:rFonts w:ascii="宋体" w:hAnsi="宋体" w:cs="宋体" w:hint="eastAsia"/>
          <w:b/>
          <w:color w:val="000000"/>
          <w:sz w:val="32"/>
          <w:szCs w:val="32"/>
        </w:rPr>
        <w:t>技术要求</w:t>
      </w:r>
    </w:p>
    <w:tbl>
      <w:tblPr>
        <w:tblStyle w:val="af2"/>
        <w:tblW w:w="0" w:type="auto"/>
        <w:tblLook w:val="04A0" w:firstRow="1" w:lastRow="0" w:firstColumn="1" w:lastColumn="0" w:noHBand="0" w:noVBand="1"/>
      </w:tblPr>
      <w:tblGrid>
        <w:gridCol w:w="984"/>
        <w:gridCol w:w="1008"/>
        <w:gridCol w:w="7175"/>
      </w:tblGrid>
      <w:tr w:rsidR="00A12AEE" w14:paraId="57510F9F" w14:textId="77777777">
        <w:tc>
          <w:tcPr>
            <w:tcW w:w="984" w:type="dxa"/>
          </w:tcPr>
          <w:p w14:paraId="31EDDE91" w14:textId="77777777" w:rsidR="00A12AEE" w:rsidRDefault="00000000">
            <w:pPr>
              <w:jc w:val="center"/>
              <w:rPr>
                <w:rFonts w:ascii="微软雅黑" w:eastAsia="微软雅黑" w:hAnsi="微软雅黑"/>
                <w:szCs w:val="21"/>
              </w:rPr>
            </w:pPr>
            <w:r>
              <w:rPr>
                <w:rFonts w:ascii="微软雅黑" w:eastAsia="微软雅黑" w:hAnsi="微软雅黑" w:hint="eastAsia"/>
                <w:szCs w:val="21"/>
              </w:rPr>
              <w:t>项目</w:t>
            </w:r>
          </w:p>
        </w:tc>
        <w:tc>
          <w:tcPr>
            <w:tcW w:w="1008" w:type="dxa"/>
          </w:tcPr>
          <w:p w14:paraId="0D8035A6" w14:textId="77777777" w:rsidR="00A12AEE" w:rsidRDefault="00000000">
            <w:pPr>
              <w:jc w:val="center"/>
              <w:rPr>
                <w:rFonts w:ascii="微软雅黑" w:eastAsia="微软雅黑" w:hAnsi="微软雅黑"/>
                <w:szCs w:val="21"/>
              </w:rPr>
            </w:pPr>
            <w:r>
              <w:rPr>
                <w:rFonts w:ascii="微软雅黑" w:eastAsia="微软雅黑" w:hAnsi="微软雅黑" w:hint="eastAsia"/>
                <w:szCs w:val="21"/>
              </w:rPr>
              <w:t>需求</w:t>
            </w:r>
          </w:p>
        </w:tc>
        <w:tc>
          <w:tcPr>
            <w:tcW w:w="7175" w:type="dxa"/>
          </w:tcPr>
          <w:p w14:paraId="0A96D409" w14:textId="77777777" w:rsidR="00A12AEE" w:rsidRDefault="00000000">
            <w:pPr>
              <w:jc w:val="center"/>
              <w:rPr>
                <w:rFonts w:ascii="微软雅黑" w:eastAsia="微软雅黑" w:hAnsi="微软雅黑"/>
                <w:szCs w:val="21"/>
              </w:rPr>
            </w:pPr>
            <w:r>
              <w:rPr>
                <w:rFonts w:ascii="微软雅黑" w:eastAsia="微软雅黑" w:hAnsi="微软雅黑" w:hint="eastAsia"/>
                <w:szCs w:val="21"/>
              </w:rPr>
              <w:t>具体描述</w:t>
            </w:r>
          </w:p>
        </w:tc>
      </w:tr>
      <w:tr w:rsidR="00A12AEE" w14:paraId="0333351A" w14:textId="77777777">
        <w:tc>
          <w:tcPr>
            <w:tcW w:w="984" w:type="dxa"/>
          </w:tcPr>
          <w:p w14:paraId="5BD122FF" w14:textId="77777777" w:rsidR="00A12AEE" w:rsidRDefault="00000000">
            <w:pPr>
              <w:rPr>
                <w:rFonts w:ascii="微软雅黑" w:eastAsia="微软雅黑" w:hAnsi="微软雅黑"/>
                <w:szCs w:val="21"/>
              </w:rPr>
            </w:pPr>
            <w:r>
              <w:rPr>
                <w:rFonts w:ascii="微软雅黑" w:eastAsia="微软雅黑" w:hAnsi="微软雅黑" w:hint="eastAsia"/>
                <w:b/>
                <w:bCs/>
                <w:szCs w:val="21"/>
              </w:rPr>
              <w:t>1、基础平台要求</w:t>
            </w:r>
          </w:p>
        </w:tc>
        <w:tc>
          <w:tcPr>
            <w:tcW w:w="1008" w:type="dxa"/>
          </w:tcPr>
          <w:p w14:paraId="0138817C" w14:textId="77777777" w:rsidR="00A12AEE" w:rsidRDefault="00000000">
            <w:pPr>
              <w:rPr>
                <w:rFonts w:ascii="微软雅黑" w:eastAsia="微软雅黑" w:hAnsi="微软雅黑"/>
                <w:szCs w:val="21"/>
              </w:rPr>
            </w:pPr>
            <w:r>
              <w:rPr>
                <w:rFonts w:ascii="微软雅黑" w:eastAsia="微软雅黑" w:hAnsi="微软雅黑" w:hint="eastAsia"/>
                <w:szCs w:val="21"/>
              </w:rPr>
              <w:t>1</w:t>
            </w:r>
            <w:r>
              <w:rPr>
                <w:rFonts w:ascii="微软雅黑" w:eastAsia="微软雅黑" w:hAnsi="微软雅黑"/>
                <w:szCs w:val="21"/>
              </w:rPr>
              <w:t>.1</w:t>
            </w:r>
            <w:r>
              <w:rPr>
                <w:rFonts w:ascii="微软雅黑" w:eastAsia="微软雅黑" w:hAnsi="微软雅黑" w:hint="eastAsia"/>
                <w:szCs w:val="21"/>
              </w:rPr>
              <w:t>软件的使用和数据要求</w:t>
            </w:r>
          </w:p>
        </w:tc>
        <w:tc>
          <w:tcPr>
            <w:tcW w:w="7175" w:type="dxa"/>
          </w:tcPr>
          <w:p w14:paraId="6FCC1449" w14:textId="77777777" w:rsidR="00A12AEE" w:rsidRDefault="00000000">
            <w:pPr>
              <w:rPr>
                <w:rFonts w:ascii="微软雅黑" w:eastAsia="微软雅黑" w:hAnsi="微软雅黑"/>
                <w:szCs w:val="21"/>
              </w:rPr>
            </w:pPr>
            <w:r>
              <w:rPr>
                <w:rFonts w:ascii="微软雅黑" w:eastAsia="微软雅黑" w:hAnsi="微软雅黑" w:hint="eastAsia"/>
                <w:szCs w:val="21"/>
              </w:rPr>
              <w:t>★本项目软件产品架构要求所有功能采用统一平台，统一登录，统一界面，统一数据库的完整软件系统，功能至少包括：配置管理数据库、信息化生命周期管理、一体化监控、符合信息技术服务管理流程、设备</w:t>
            </w:r>
            <w:proofErr w:type="gramStart"/>
            <w:r>
              <w:rPr>
                <w:rFonts w:ascii="微软雅黑" w:eastAsia="微软雅黑" w:hAnsi="微软雅黑" w:hint="eastAsia"/>
                <w:szCs w:val="21"/>
              </w:rPr>
              <w:t>监控全</w:t>
            </w:r>
            <w:proofErr w:type="gramEnd"/>
            <w:r>
              <w:rPr>
                <w:rFonts w:ascii="微软雅黑" w:eastAsia="微软雅黑" w:hAnsi="微软雅黑" w:hint="eastAsia"/>
                <w:szCs w:val="21"/>
              </w:rPr>
              <w:t>覆盖等功能。</w:t>
            </w:r>
            <w:r>
              <w:rPr>
                <w:rFonts w:ascii="微软雅黑" w:eastAsia="微软雅黑" w:hAnsi="微软雅黑"/>
                <w:szCs w:val="21"/>
              </w:rPr>
              <w:t xml:space="preserve"> </w:t>
            </w:r>
          </w:p>
        </w:tc>
      </w:tr>
      <w:tr w:rsidR="00A12AEE" w14:paraId="4377B51A" w14:textId="77777777">
        <w:tc>
          <w:tcPr>
            <w:tcW w:w="984" w:type="dxa"/>
            <w:vMerge w:val="restart"/>
          </w:tcPr>
          <w:p w14:paraId="5E88D9C5" w14:textId="77777777" w:rsidR="00A12AEE" w:rsidRDefault="00000000">
            <w:pPr>
              <w:rPr>
                <w:rFonts w:ascii="微软雅黑" w:eastAsia="微软雅黑" w:hAnsi="微软雅黑"/>
                <w:szCs w:val="21"/>
              </w:rPr>
            </w:pPr>
            <w:r>
              <w:rPr>
                <w:rFonts w:ascii="微软雅黑" w:eastAsia="微软雅黑" w:hAnsi="微软雅黑" w:hint="eastAsia"/>
                <w:b/>
                <w:bCs/>
                <w:szCs w:val="21"/>
              </w:rPr>
              <w:t>2、基础结构和资源管理</w:t>
            </w:r>
          </w:p>
        </w:tc>
        <w:tc>
          <w:tcPr>
            <w:tcW w:w="1008" w:type="dxa"/>
          </w:tcPr>
          <w:p w14:paraId="431744AB" w14:textId="77777777" w:rsidR="00A12AEE" w:rsidRDefault="00000000">
            <w:pPr>
              <w:rPr>
                <w:rFonts w:ascii="微软雅黑" w:eastAsia="微软雅黑" w:hAnsi="微软雅黑"/>
                <w:szCs w:val="21"/>
              </w:rPr>
            </w:pPr>
            <w:r>
              <w:rPr>
                <w:rFonts w:ascii="微软雅黑" w:eastAsia="微软雅黑" w:hAnsi="微软雅黑" w:hint="eastAsia"/>
                <w:szCs w:val="21"/>
              </w:rPr>
              <w:t>2</w:t>
            </w:r>
            <w:r>
              <w:rPr>
                <w:rFonts w:ascii="微软雅黑" w:eastAsia="微软雅黑" w:hAnsi="微软雅黑"/>
                <w:szCs w:val="21"/>
              </w:rPr>
              <w:t>.1</w:t>
            </w:r>
            <w:r>
              <w:rPr>
                <w:rFonts w:ascii="微软雅黑" w:eastAsia="微软雅黑" w:hAnsi="微软雅黑" w:hint="eastAsia"/>
                <w:szCs w:val="21"/>
              </w:rPr>
              <w:t>配置项管理</w:t>
            </w:r>
          </w:p>
        </w:tc>
        <w:tc>
          <w:tcPr>
            <w:tcW w:w="7175" w:type="dxa"/>
          </w:tcPr>
          <w:p w14:paraId="6EB22664" w14:textId="77777777" w:rsidR="00A12AEE" w:rsidRDefault="00000000">
            <w:pPr>
              <w:rPr>
                <w:rFonts w:ascii="微软雅黑" w:eastAsia="微软雅黑" w:hAnsi="微软雅黑"/>
                <w:szCs w:val="21"/>
              </w:rPr>
            </w:pPr>
            <w:r>
              <w:rPr>
                <w:rFonts w:ascii="微软雅黑" w:eastAsia="微软雅黑" w:hAnsi="微软雅黑" w:hint="eastAsia"/>
                <w:szCs w:val="21"/>
              </w:rPr>
              <w:t>配置管理数据库，管理范围应包括，内外部人员与岗位管理，文档管理、链路管理以及IP地址等信息化资源。</w:t>
            </w:r>
          </w:p>
        </w:tc>
      </w:tr>
      <w:tr w:rsidR="00A12AEE" w14:paraId="50398CCC" w14:textId="77777777">
        <w:trPr>
          <w:gridAfter w:val="2"/>
          <w:wAfter w:w="8183" w:type="dxa"/>
          <w:trHeight w:val="360"/>
        </w:trPr>
        <w:tc>
          <w:tcPr>
            <w:tcW w:w="984" w:type="dxa"/>
            <w:vMerge/>
          </w:tcPr>
          <w:p w14:paraId="626B7A23" w14:textId="77777777" w:rsidR="00A12AEE" w:rsidRDefault="00A12AEE">
            <w:pPr>
              <w:rPr>
                <w:rFonts w:ascii="微软雅黑" w:eastAsia="微软雅黑" w:hAnsi="微软雅黑"/>
                <w:szCs w:val="21"/>
              </w:rPr>
            </w:pPr>
          </w:p>
        </w:tc>
      </w:tr>
      <w:tr w:rsidR="00A12AEE" w14:paraId="76F3E641" w14:textId="77777777">
        <w:tc>
          <w:tcPr>
            <w:tcW w:w="984" w:type="dxa"/>
            <w:vMerge/>
          </w:tcPr>
          <w:p w14:paraId="4ADB4028" w14:textId="77777777" w:rsidR="00A12AEE" w:rsidRDefault="00A12AEE">
            <w:pPr>
              <w:rPr>
                <w:rFonts w:ascii="微软雅黑" w:eastAsia="微软雅黑" w:hAnsi="微软雅黑"/>
                <w:szCs w:val="21"/>
              </w:rPr>
            </w:pPr>
          </w:p>
        </w:tc>
        <w:tc>
          <w:tcPr>
            <w:tcW w:w="1008" w:type="dxa"/>
          </w:tcPr>
          <w:p w14:paraId="58391466" w14:textId="77777777" w:rsidR="00A12AEE" w:rsidRDefault="00000000">
            <w:pPr>
              <w:rPr>
                <w:rFonts w:ascii="微软雅黑" w:eastAsia="微软雅黑" w:hAnsi="微软雅黑"/>
                <w:szCs w:val="21"/>
              </w:rPr>
            </w:pPr>
            <w:r>
              <w:rPr>
                <w:rFonts w:ascii="微软雅黑" w:eastAsia="微软雅黑" w:hAnsi="微软雅黑" w:hint="eastAsia"/>
                <w:szCs w:val="21"/>
              </w:rPr>
              <w:t>2</w:t>
            </w:r>
            <w:r>
              <w:rPr>
                <w:rFonts w:ascii="微软雅黑" w:eastAsia="微软雅黑" w:hAnsi="微软雅黑"/>
                <w:szCs w:val="21"/>
              </w:rPr>
              <w:t>.</w:t>
            </w:r>
            <w:r>
              <w:rPr>
                <w:rFonts w:ascii="微软雅黑" w:eastAsia="微软雅黑" w:hAnsi="微软雅黑" w:hint="eastAsia"/>
                <w:szCs w:val="21"/>
              </w:rPr>
              <w:t>2业务全景图</w:t>
            </w:r>
          </w:p>
        </w:tc>
        <w:tc>
          <w:tcPr>
            <w:tcW w:w="7175" w:type="dxa"/>
          </w:tcPr>
          <w:p w14:paraId="20D06D0A" w14:textId="77777777" w:rsidR="00A12AEE" w:rsidRDefault="00000000">
            <w:pPr>
              <w:rPr>
                <w:rFonts w:ascii="微软雅黑" w:eastAsia="微软雅黑" w:hAnsi="微软雅黑"/>
                <w:szCs w:val="21"/>
              </w:rPr>
            </w:pPr>
            <w:r>
              <w:rPr>
                <w:rFonts w:ascii="微软雅黑" w:eastAsia="微软雅黑" w:hAnsi="微软雅黑" w:hint="eastAsia"/>
                <w:szCs w:val="21"/>
              </w:rPr>
              <w:t>通过应用系统组合汇总各个“业务系统”的项目信息，流程KPI，以及性能数据，形成信息系统的运营和建设的信息全景图。</w:t>
            </w:r>
          </w:p>
        </w:tc>
      </w:tr>
      <w:tr w:rsidR="00A12AEE" w14:paraId="7D893B39" w14:textId="77777777">
        <w:tc>
          <w:tcPr>
            <w:tcW w:w="984" w:type="dxa"/>
            <w:vMerge/>
          </w:tcPr>
          <w:p w14:paraId="05D552B6" w14:textId="77777777" w:rsidR="00A12AEE" w:rsidRDefault="00A12AEE">
            <w:pPr>
              <w:rPr>
                <w:rFonts w:ascii="微软雅黑" w:eastAsia="微软雅黑" w:hAnsi="微软雅黑"/>
                <w:szCs w:val="21"/>
              </w:rPr>
            </w:pPr>
          </w:p>
        </w:tc>
        <w:tc>
          <w:tcPr>
            <w:tcW w:w="1008" w:type="dxa"/>
          </w:tcPr>
          <w:p w14:paraId="63D2D6C6" w14:textId="77777777" w:rsidR="00A12AEE" w:rsidRDefault="00000000">
            <w:pPr>
              <w:rPr>
                <w:rFonts w:ascii="微软雅黑" w:eastAsia="微软雅黑" w:hAnsi="微软雅黑"/>
                <w:szCs w:val="21"/>
              </w:rPr>
            </w:pPr>
            <w:r>
              <w:rPr>
                <w:rFonts w:ascii="微软雅黑" w:eastAsia="微软雅黑" w:hAnsi="微软雅黑" w:hint="eastAsia"/>
                <w:szCs w:val="21"/>
              </w:rPr>
              <w:t>2</w:t>
            </w:r>
            <w:r>
              <w:rPr>
                <w:rFonts w:ascii="微软雅黑" w:eastAsia="微软雅黑" w:hAnsi="微软雅黑"/>
                <w:szCs w:val="21"/>
              </w:rPr>
              <w:t>.</w:t>
            </w:r>
            <w:r>
              <w:rPr>
                <w:rFonts w:ascii="微软雅黑" w:eastAsia="微软雅黑" w:hAnsi="微软雅黑" w:hint="eastAsia"/>
                <w:szCs w:val="21"/>
              </w:rPr>
              <w:t>3统一视图呈现</w:t>
            </w:r>
          </w:p>
        </w:tc>
        <w:tc>
          <w:tcPr>
            <w:tcW w:w="7175" w:type="dxa"/>
          </w:tcPr>
          <w:p w14:paraId="2A864EC9" w14:textId="77777777" w:rsidR="00A12AEE" w:rsidRDefault="00000000">
            <w:pPr>
              <w:pStyle w:val="Style32"/>
              <w:adjustRightInd w:val="0"/>
              <w:snapToGrid w:val="0"/>
              <w:spacing w:line="360" w:lineRule="auto"/>
              <w:ind w:firstLineChars="0" w:firstLine="0"/>
              <w:rPr>
                <w:rFonts w:cs="宋体" w:hint="default"/>
                <w:szCs w:val="21"/>
              </w:rPr>
            </w:pPr>
            <w:r>
              <w:rPr>
                <w:szCs w:val="21"/>
              </w:rPr>
              <w:t>★可</w:t>
            </w:r>
            <w:r>
              <w:rPr>
                <w:rFonts w:cs="宋体"/>
                <w:szCs w:val="21"/>
              </w:rPr>
              <w:t>自动建立“服务模型”，呈现每个业务与应用系统之间的关系和状态。软件能够将“网络区域”，“业务系统”形成一个统一视图，并可以钻取到具体的拓扑图和业务系统模型。</w:t>
            </w:r>
          </w:p>
        </w:tc>
      </w:tr>
      <w:tr w:rsidR="00A12AEE" w14:paraId="5C6A591C" w14:textId="77777777">
        <w:tc>
          <w:tcPr>
            <w:tcW w:w="984" w:type="dxa"/>
            <w:vMerge w:val="restart"/>
          </w:tcPr>
          <w:p w14:paraId="14B2017B" w14:textId="77777777" w:rsidR="00A12AEE" w:rsidRDefault="00000000">
            <w:pPr>
              <w:rPr>
                <w:rFonts w:ascii="微软雅黑" w:eastAsia="微软雅黑" w:hAnsi="微软雅黑"/>
                <w:b/>
                <w:bCs/>
                <w:szCs w:val="21"/>
              </w:rPr>
            </w:pPr>
            <w:r>
              <w:rPr>
                <w:rFonts w:ascii="微软雅黑" w:eastAsia="微软雅黑" w:hAnsi="微软雅黑" w:hint="eastAsia"/>
                <w:b/>
                <w:bCs/>
                <w:szCs w:val="21"/>
              </w:rPr>
              <w:t>3</w:t>
            </w:r>
            <w:r>
              <w:rPr>
                <w:rFonts w:ascii="微软雅黑" w:eastAsia="微软雅黑" w:hAnsi="微软雅黑"/>
                <w:b/>
                <w:bCs/>
                <w:szCs w:val="21"/>
              </w:rPr>
              <w:t>.</w:t>
            </w:r>
            <w:r>
              <w:rPr>
                <w:rFonts w:ascii="微软雅黑" w:eastAsia="微软雅黑" w:hAnsi="微软雅黑" w:hint="eastAsia"/>
                <w:b/>
                <w:bCs/>
                <w:szCs w:val="21"/>
              </w:rPr>
              <w:t>一体化监控</w:t>
            </w:r>
          </w:p>
        </w:tc>
        <w:tc>
          <w:tcPr>
            <w:tcW w:w="1008" w:type="dxa"/>
          </w:tcPr>
          <w:p w14:paraId="0BEF8442" w14:textId="77777777" w:rsidR="00A12AEE" w:rsidRDefault="00000000">
            <w:pPr>
              <w:rPr>
                <w:rFonts w:ascii="微软雅黑" w:eastAsia="微软雅黑" w:hAnsi="微软雅黑"/>
                <w:szCs w:val="21"/>
              </w:rPr>
            </w:pPr>
            <w:r>
              <w:rPr>
                <w:rFonts w:ascii="微软雅黑" w:eastAsia="微软雅黑" w:hAnsi="微软雅黑" w:cs="宋体" w:hint="eastAsia"/>
                <w:szCs w:val="21"/>
              </w:rPr>
              <w:t>3</w:t>
            </w:r>
            <w:r>
              <w:rPr>
                <w:rFonts w:ascii="微软雅黑" w:eastAsia="微软雅黑" w:hAnsi="微软雅黑" w:cs="宋体"/>
                <w:szCs w:val="21"/>
              </w:rPr>
              <w:t>.1</w:t>
            </w:r>
            <w:r>
              <w:rPr>
                <w:rFonts w:ascii="微软雅黑" w:eastAsia="微软雅黑" w:hAnsi="微软雅黑" w:cs="宋体" w:hint="eastAsia"/>
                <w:szCs w:val="21"/>
              </w:rPr>
              <w:t>运维的数据采集要求</w:t>
            </w:r>
          </w:p>
        </w:tc>
        <w:tc>
          <w:tcPr>
            <w:tcW w:w="7175" w:type="dxa"/>
          </w:tcPr>
          <w:p w14:paraId="7EB190C5" w14:textId="77777777" w:rsidR="00A12AEE" w:rsidRDefault="00000000">
            <w:pPr>
              <w:adjustRightInd w:val="0"/>
              <w:snapToGrid w:val="0"/>
              <w:spacing w:line="360" w:lineRule="auto"/>
              <w:jc w:val="left"/>
              <w:rPr>
                <w:rFonts w:ascii="微软雅黑" w:eastAsia="微软雅黑" w:hAnsi="微软雅黑" w:cs="宋体"/>
                <w:szCs w:val="21"/>
              </w:rPr>
            </w:pPr>
            <w:r>
              <w:rPr>
                <w:rFonts w:ascii="微软雅黑" w:eastAsia="微软雅黑" w:hAnsi="微软雅黑" w:cs="宋体" w:hint="eastAsia"/>
                <w:szCs w:val="21"/>
              </w:rPr>
              <w:t>通过软件一方面能够监测所有软件和硬件的基本性能，另一方面能够监测各类系统的时间，能够监测各类系统的数据库语句。</w:t>
            </w:r>
          </w:p>
          <w:p w14:paraId="7D0BC9A0" w14:textId="77777777" w:rsidR="00A12AEE" w:rsidRDefault="00000000">
            <w:pPr>
              <w:pStyle w:val="Style32"/>
              <w:numPr>
                <w:ilvl w:val="0"/>
                <w:numId w:val="1"/>
              </w:numPr>
              <w:adjustRightInd w:val="0"/>
              <w:snapToGrid w:val="0"/>
              <w:spacing w:line="360" w:lineRule="auto"/>
              <w:ind w:left="315" w:hangingChars="150" w:hanging="315"/>
              <w:rPr>
                <w:rFonts w:cs="宋体" w:hint="default"/>
                <w:szCs w:val="21"/>
              </w:rPr>
            </w:pPr>
            <w:r>
              <w:rPr>
                <w:szCs w:val="21"/>
              </w:rPr>
              <w:t>★</w:t>
            </w:r>
            <w:r>
              <w:rPr>
                <w:rFonts w:cs="宋体"/>
                <w:szCs w:val="21"/>
              </w:rPr>
              <w:t>能够自动发现并记录服务器硬件的性能隐患，包括：支持对各个主流品牌服务器硬件的风扇、电源、硬盘及温度的状态监测，同时支持对各个主流服务器系统CPU、内存、进程的状态监测；</w:t>
            </w:r>
          </w:p>
          <w:p w14:paraId="48430D44" w14:textId="77777777" w:rsidR="00A12AEE" w:rsidRDefault="00000000">
            <w:pPr>
              <w:pStyle w:val="Style32"/>
              <w:numPr>
                <w:ilvl w:val="0"/>
                <w:numId w:val="1"/>
              </w:numPr>
              <w:adjustRightInd w:val="0"/>
              <w:snapToGrid w:val="0"/>
              <w:spacing w:line="360" w:lineRule="auto"/>
              <w:ind w:left="315" w:hangingChars="150" w:hanging="315"/>
              <w:rPr>
                <w:rFonts w:cs="宋体" w:hint="default"/>
                <w:szCs w:val="21"/>
              </w:rPr>
            </w:pPr>
            <w:r>
              <w:rPr>
                <w:szCs w:val="21"/>
              </w:rPr>
              <w:lastRenderedPageBreak/>
              <w:t>★</w:t>
            </w:r>
            <w:r>
              <w:rPr>
                <w:rFonts w:cs="宋体"/>
                <w:szCs w:val="21"/>
              </w:rPr>
              <w:t>能够自动发现并记录存储的性能隐患，包括：各类主流存储系统的控制器状态、控制器性能；</w:t>
            </w:r>
          </w:p>
          <w:p w14:paraId="4F60B335" w14:textId="77777777" w:rsidR="00A12AEE" w:rsidRDefault="00000000">
            <w:pPr>
              <w:pStyle w:val="Style32"/>
              <w:numPr>
                <w:ilvl w:val="0"/>
                <w:numId w:val="1"/>
              </w:numPr>
              <w:adjustRightInd w:val="0"/>
              <w:snapToGrid w:val="0"/>
              <w:spacing w:line="360" w:lineRule="auto"/>
              <w:ind w:left="315" w:hangingChars="150" w:hanging="315"/>
              <w:rPr>
                <w:rFonts w:cs="宋体" w:hint="default"/>
                <w:szCs w:val="21"/>
              </w:rPr>
            </w:pPr>
            <w:r>
              <w:rPr>
                <w:szCs w:val="21"/>
              </w:rPr>
              <w:t>★</w:t>
            </w:r>
            <w:r>
              <w:rPr>
                <w:rFonts w:cs="宋体"/>
                <w:szCs w:val="21"/>
              </w:rPr>
              <w:t>能够自动发现并记录网络的性能隐患，包括：针对网络设备的CPU、内存、风扇和电源的监测，同时要包括网络线路的流量和丢包情况；</w:t>
            </w:r>
          </w:p>
          <w:p w14:paraId="4BC7D95C" w14:textId="77777777" w:rsidR="00A12AEE" w:rsidRDefault="00000000">
            <w:pPr>
              <w:pStyle w:val="Style32"/>
              <w:numPr>
                <w:ilvl w:val="0"/>
                <w:numId w:val="1"/>
              </w:numPr>
              <w:adjustRightInd w:val="0"/>
              <w:snapToGrid w:val="0"/>
              <w:spacing w:line="360" w:lineRule="auto"/>
              <w:ind w:left="315" w:hangingChars="150" w:hanging="315"/>
              <w:rPr>
                <w:rFonts w:cs="宋体" w:hint="default"/>
                <w:szCs w:val="21"/>
              </w:rPr>
            </w:pPr>
            <w:r>
              <w:rPr>
                <w:szCs w:val="21"/>
              </w:rPr>
              <w:t>★</w:t>
            </w:r>
            <w:r>
              <w:rPr>
                <w:rFonts w:cs="宋体"/>
                <w:szCs w:val="21"/>
              </w:rPr>
              <w:t>能够自动发现并记录数据库的性能隐患，包括：跟踪数据库当前所执行的语句，以及语句消耗的内存与耗时，包括等待时间、I/O等待时间；</w:t>
            </w:r>
          </w:p>
          <w:p w14:paraId="4CEA87D8" w14:textId="77777777" w:rsidR="00A12AEE" w:rsidRDefault="00000000">
            <w:pPr>
              <w:pStyle w:val="Style32"/>
              <w:numPr>
                <w:ilvl w:val="0"/>
                <w:numId w:val="1"/>
              </w:numPr>
              <w:adjustRightInd w:val="0"/>
              <w:snapToGrid w:val="0"/>
              <w:spacing w:line="360" w:lineRule="auto"/>
              <w:ind w:left="315" w:hangingChars="150" w:hanging="315"/>
              <w:rPr>
                <w:rFonts w:hint="default"/>
                <w:szCs w:val="21"/>
              </w:rPr>
            </w:pPr>
            <w:r>
              <w:rPr>
                <w:szCs w:val="21"/>
              </w:rPr>
              <w:t>★</w:t>
            </w:r>
            <w:r>
              <w:rPr>
                <w:rFonts w:cs="宋体"/>
                <w:szCs w:val="21"/>
              </w:rPr>
              <w:t>要求软件系统能够对系统时间的自动化监测，以此，防止由于时间错误带来的业务数据错误。</w:t>
            </w:r>
          </w:p>
        </w:tc>
      </w:tr>
      <w:tr w:rsidR="00A12AEE" w14:paraId="101D36CA" w14:textId="77777777">
        <w:tc>
          <w:tcPr>
            <w:tcW w:w="984" w:type="dxa"/>
            <w:vMerge/>
          </w:tcPr>
          <w:p w14:paraId="76E979BC" w14:textId="77777777" w:rsidR="00A12AEE" w:rsidRDefault="00A12AEE">
            <w:pPr>
              <w:rPr>
                <w:rFonts w:ascii="微软雅黑" w:eastAsia="微软雅黑" w:hAnsi="微软雅黑"/>
                <w:b/>
                <w:bCs/>
                <w:szCs w:val="21"/>
              </w:rPr>
            </w:pPr>
          </w:p>
        </w:tc>
        <w:tc>
          <w:tcPr>
            <w:tcW w:w="1008" w:type="dxa"/>
          </w:tcPr>
          <w:p w14:paraId="75F01715" w14:textId="77777777" w:rsidR="00A12AEE" w:rsidRDefault="00000000">
            <w:pPr>
              <w:rPr>
                <w:rFonts w:ascii="微软雅黑" w:eastAsia="微软雅黑" w:hAnsi="微软雅黑"/>
                <w:szCs w:val="21"/>
              </w:rPr>
            </w:pPr>
            <w:r>
              <w:rPr>
                <w:rFonts w:ascii="微软雅黑" w:eastAsia="微软雅黑" w:hAnsi="微软雅黑" w:cs="宋体" w:hint="eastAsia"/>
                <w:szCs w:val="21"/>
              </w:rPr>
              <w:t>3</w:t>
            </w:r>
            <w:r>
              <w:rPr>
                <w:rFonts w:ascii="微软雅黑" w:eastAsia="微软雅黑" w:hAnsi="微软雅黑" w:cs="宋体"/>
                <w:szCs w:val="21"/>
              </w:rPr>
              <w:t>.2</w:t>
            </w:r>
            <w:r>
              <w:rPr>
                <w:rFonts w:ascii="微软雅黑" w:eastAsia="微软雅黑" w:hAnsi="微软雅黑" w:cs="宋体" w:hint="eastAsia"/>
                <w:szCs w:val="21"/>
              </w:rPr>
              <w:t>运</w:t>
            </w:r>
            <w:proofErr w:type="gramStart"/>
            <w:r>
              <w:rPr>
                <w:rFonts w:ascii="微软雅黑" w:eastAsia="微软雅黑" w:hAnsi="微软雅黑" w:cs="宋体" w:hint="eastAsia"/>
                <w:szCs w:val="21"/>
              </w:rPr>
              <w:t>维基础</w:t>
            </w:r>
            <w:proofErr w:type="gramEnd"/>
            <w:r>
              <w:rPr>
                <w:rFonts w:ascii="微软雅黑" w:eastAsia="微软雅黑" w:hAnsi="微软雅黑" w:cs="宋体" w:hint="eastAsia"/>
                <w:szCs w:val="21"/>
              </w:rPr>
              <w:t>功能</w:t>
            </w:r>
          </w:p>
        </w:tc>
        <w:tc>
          <w:tcPr>
            <w:tcW w:w="7175" w:type="dxa"/>
          </w:tcPr>
          <w:p w14:paraId="16B26F27" w14:textId="77777777" w:rsidR="00A12AEE" w:rsidRDefault="00000000">
            <w:pPr>
              <w:pStyle w:val="af4"/>
              <w:numPr>
                <w:ilvl w:val="0"/>
                <w:numId w:val="2"/>
              </w:numPr>
              <w:adjustRightInd w:val="0"/>
              <w:snapToGrid w:val="0"/>
              <w:spacing w:line="360" w:lineRule="auto"/>
              <w:jc w:val="left"/>
              <w:rPr>
                <w:rFonts w:ascii="微软雅黑" w:eastAsia="微软雅黑" w:hAnsi="微软雅黑" w:cs="宋体"/>
                <w:szCs w:val="21"/>
              </w:rPr>
            </w:pPr>
            <w:r>
              <w:rPr>
                <w:rFonts w:ascii="微软雅黑" w:eastAsia="微软雅黑" w:hAnsi="微软雅黑" w:cs="宋体" w:hint="eastAsia"/>
                <w:szCs w:val="21"/>
              </w:rPr>
              <w:t>支持对采集的数据形成拓扑、</w:t>
            </w:r>
            <w:proofErr w:type="gramStart"/>
            <w:r>
              <w:rPr>
                <w:rFonts w:ascii="微软雅黑" w:eastAsia="微软雅黑" w:hAnsi="微软雅黑" w:cs="宋体" w:hint="eastAsia"/>
                <w:szCs w:val="21"/>
              </w:rPr>
              <w:t>轮播大屏</w:t>
            </w:r>
            <w:proofErr w:type="gramEnd"/>
            <w:r>
              <w:rPr>
                <w:rFonts w:ascii="微软雅黑" w:eastAsia="微软雅黑" w:hAnsi="微软雅黑" w:cs="宋体" w:hint="eastAsia"/>
                <w:szCs w:val="21"/>
              </w:rPr>
              <w:t>看板、定时图表等各类视图、报表的方式进行呈现。</w:t>
            </w:r>
          </w:p>
          <w:p w14:paraId="565EDBA5" w14:textId="77777777" w:rsidR="00A12AEE" w:rsidRDefault="00000000">
            <w:pPr>
              <w:pStyle w:val="af4"/>
              <w:numPr>
                <w:ilvl w:val="0"/>
                <w:numId w:val="2"/>
              </w:numPr>
              <w:adjustRightInd w:val="0"/>
              <w:snapToGrid w:val="0"/>
              <w:spacing w:line="360" w:lineRule="auto"/>
              <w:jc w:val="left"/>
              <w:rPr>
                <w:rFonts w:ascii="微软雅黑" w:eastAsia="微软雅黑" w:hAnsi="微软雅黑" w:cs="宋体"/>
                <w:szCs w:val="21"/>
              </w:rPr>
            </w:pPr>
            <w:r>
              <w:rPr>
                <w:rFonts w:ascii="微软雅黑" w:eastAsia="微软雅黑" w:hAnsi="微软雅黑" w:cs="宋体" w:hint="eastAsia"/>
                <w:szCs w:val="21"/>
              </w:rPr>
              <w:t>支持对数据指标进行阈值设置，并通过短信、邮件、手机端等各</w:t>
            </w:r>
            <w:proofErr w:type="gramStart"/>
            <w:r>
              <w:rPr>
                <w:rFonts w:ascii="微软雅黑" w:eastAsia="微软雅黑" w:hAnsi="微软雅黑" w:cs="宋体" w:hint="eastAsia"/>
                <w:szCs w:val="21"/>
              </w:rPr>
              <w:t>类方式</w:t>
            </w:r>
            <w:proofErr w:type="gramEnd"/>
            <w:r>
              <w:rPr>
                <w:rFonts w:ascii="微软雅黑" w:eastAsia="微软雅黑" w:hAnsi="微软雅黑" w:cs="宋体" w:hint="eastAsia"/>
                <w:szCs w:val="21"/>
              </w:rPr>
              <w:t>进行异常提示。</w:t>
            </w:r>
          </w:p>
        </w:tc>
      </w:tr>
      <w:tr w:rsidR="00A12AEE" w14:paraId="5F691A47" w14:textId="77777777">
        <w:tc>
          <w:tcPr>
            <w:tcW w:w="984" w:type="dxa"/>
            <w:vMerge w:val="restart"/>
          </w:tcPr>
          <w:p w14:paraId="4BCBA1CC" w14:textId="77777777" w:rsidR="00A12AEE" w:rsidRDefault="00000000">
            <w:pPr>
              <w:rPr>
                <w:rFonts w:ascii="微软雅黑" w:eastAsia="微软雅黑" w:hAnsi="微软雅黑"/>
                <w:b/>
                <w:bCs/>
                <w:szCs w:val="21"/>
              </w:rPr>
            </w:pPr>
            <w:r>
              <w:rPr>
                <w:rFonts w:ascii="微软雅黑" w:eastAsia="微软雅黑" w:hAnsi="微软雅黑" w:hint="eastAsia"/>
                <w:b/>
                <w:bCs/>
                <w:szCs w:val="21"/>
              </w:rPr>
              <w:t>4运营数据分析</w:t>
            </w:r>
          </w:p>
        </w:tc>
        <w:tc>
          <w:tcPr>
            <w:tcW w:w="1008" w:type="dxa"/>
          </w:tcPr>
          <w:p w14:paraId="5E0AF4B6" w14:textId="77777777" w:rsidR="00A12AEE" w:rsidRDefault="00000000">
            <w:pPr>
              <w:rPr>
                <w:rFonts w:ascii="微软雅黑" w:eastAsia="微软雅黑" w:hAnsi="微软雅黑"/>
                <w:szCs w:val="21"/>
              </w:rPr>
            </w:pPr>
            <w:r>
              <w:rPr>
                <w:rFonts w:ascii="微软雅黑" w:eastAsia="微软雅黑" w:hAnsi="微软雅黑" w:hint="eastAsia"/>
                <w:szCs w:val="21"/>
              </w:rPr>
              <w:t>4</w:t>
            </w:r>
            <w:r>
              <w:rPr>
                <w:rFonts w:ascii="微软雅黑" w:eastAsia="微软雅黑" w:hAnsi="微软雅黑"/>
                <w:szCs w:val="21"/>
              </w:rPr>
              <w:t>.1</w:t>
            </w:r>
            <w:r>
              <w:rPr>
                <w:rFonts w:ascii="微软雅黑" w:eastAsia="微软雅黑" w:hAnsi="微软雅黑" w:hint="eastAsia"/>
                <w:szCs w:val="21"/>
              </w:rPr>
              <w:t>实时工作看板</w:t>
            </w:r>
          </w:p>
        </w:tc>
        <w:tc>
          <w:tcPr>
            <w:tcW w:w="7175" w:type="dxa"/>
          </w:tcPr>
          <w:p w14:paraId="655ACFA5" w14:textId="77777777" w:rsidR="00A12AEE" w:rsidRDefault="00000000">
            <w:pPr>
              <w:rPr>
                <w:rFonts w:ascii="微软雅黑" w:eastAsia="微软雅黑" w:hAnsi="微软雅黑"/>
                <w:szCs w:val="21"/>
              </w:rPr>
            </w:pPr>
            <w:r>
              <w:rPr>
                <w:rFonts w:ascii="微软雅黑" w:eastAsia="微软雅黑" w:hAnsi="微软雅黑" w:hint="eastAsia"/>
                <w:szCs w:val="21"/>
              </w:rPr>
              <w:t>通过服务信息看板，将当前的工作状况进行实时的展现，便于工作的协调和监管，至少支持以下三类视角的看板：</w:t>
            </w:r>
          </w:p>
          <w:p w14:paraId="67DCCB80" w14:textId="77777777" w:rsidR="00A12AEE" w:rsidRDefault="00000000">
            <w:pPr>
              <w:pStyle w:val="af4"/>
              <w:ind w:left="0"/>
              <w:jc w:val="left"/>
              <w:rPr>
                <w:rFonts w:ascii="微软雅黑" w:eastAsia="微软雅黑" w:hAnsi="微软雅黑"/>
                <w:szCs w:val="21"/>
              </w:rPr>
            </w:pPr>
            <w:r>
              <w:rPr>
                <w:rFonts w:ascii="微软雅黑" w:eastAsia="微软雅黑" w:hAnsi="微软雅黑" w:hint="eastAsia"/>
                <w:szCs w:val="21"/>
              </w:rPr>
              <w:t>1.工作信息看板：能够看到黑单（已超时的工作单），红单（快要超时的工作单），黄单（时间已经过去一半的工作单），绿单（刚刚开始的工作单）；</w:t>
            </w:r>
          </w:p>
          <w:p w14:paraId="1C77D02F" w14:textId="77777777" w:rsidR="00A12AEE" w:rsidRDefault="00000000">
            <w:pPr>
              <w:pStyle w:val="af4"/>
              <w:ind w:left="0"/>
              <w:jc w:val="left"/>
              <w:rPr>
                <w:rFonts w:ascii="微软雅黑" w:eastAsia="微软雅黑" w:hAnsi="微软雅黑"/>
                <w:szCs w:val="21"/>
              </w:rPr>
            </w:pPr>
            <w:r>
              <w:rPr>
                <w:rFonts w:ascii="微软雅黑" w:eastAsia="微软雅黑" w:hAnsi="微软雅黑" w:hint="eastAsia"/>
                <w:szCs w:val="21"/>
              </w:rPr>
              <w:t>2.协调调度看板：各个人员的当前工作队列，每个人员的当前工作单；</w:t>
            </w:r>
          </w:p>
          <w:p w14:paraId="3B7A5704" w14:textId="77777777" w:rsidR="00A12AEE" w:rsidRDefault="00000000">
            <w:pPr>
              <w:pStyle w:val="af4"/>
              <w:ind w:left="0"/>
              <w:jc w:val="left"/>
              <w:rPr>
                <w:rFonts w:ascii="微软雅黑" w:eastAsia="微软雅黑" w:hAnsi="微软雅黑"/>
                <w:szCs w:val="21"/>
              </w:rPr>
            </w:pPr>
            <w:r>
              <w:rPr>
                <w:rFonts w:ascii="微软雅黑" w:eastAsia="微软雅黑" w:hAnsi="微软雅黑" w:hint="eastAsia"/>
                <w:szCs w:val="21"/>
              </w:rPr>
              <w:t>3.状态汇总看板：当前有性能异常和故障的软件和硬件设备，以及相应人员的处置情况。</w:t>
            </w:r>
          </w:p>
        </w:tc>
      </w:tr>
      <w:tr w:rsidR="00A12AEE" w14:paraId="76A17648" w14:textId="77777777">
        <w:tc>
          <w:tcPr>
            <w:tcW w:w="984" w:type="dxa"/>
            <w:vMerge/>
          </w:tcPr>
          <w:p w14:paraId="5E221039" w14:textId="77777777" w:rsidR="00A12AEE" w:rsidRDefault="00A12AEE">
            <w:pPr>
              <w:rPr>
                <w:rFonts w:ascii="微软雅黑" w:eastAsia="微软雅黑" w:hAnsi="微软雅黑"/>
                <w:szCs w:val="21"/>
              </w:rPr>
            </w:pPr>
          </w:p>
        </w:tc>
        <w:tc>
          <w:tcPr>
            <w:tcW w:w="1008" w:type="dxa"/>
          </w:tcPr>
          <w:p w14:paraId="5BD55344" w14:textId="77777777" w:rsidR="00A12AEE" w:rsidRDefault="00000000">
            <w:pPr>
              <w:rPr>
                <w:rFonts w:ascii="微软雅黑" w:eastAsia="微软雅黑" w:hAnsi="微软雅黑"/>
                <w:szCs w:val="21"/>
              </w:rPr>
            </w:pPr>
            <w:r>
              <w:rPr>
                <w:rFonts w:ascii="微软雅黑" w:eastAsia="微软雅黑" w:hAnsi="微软雅黑" w:hint="eastAsia"/>
                <w:szCs w:val="21"/>
              </w:rPr>
              <w:t>4</w:t>
            </w:r>
            <w:r>
              <w:rPr>
                <w:rFonts w:ascii="微软雅黑" w:eastAsia="微软雅黑" w:hAnsi="微软雅黑"/>
                <w:szCs w:val="21"/>
              </w:rPr>
              <w:t>.2</w:t>
            </w:r>
            <w:r>
              <w:rPr>
                <w:rFonts w:ascii="微软雅黑" w:eastAsia="微软雅黑" w:hAnsi="微软雅黑" w:hint="eastAsia"/>
                <w:szCs w:val="21"/>
              </w:rPr>
              <w:t>运营数据分析</w:t>
            </w:r>
          </w:p>
        </w:tc>
        <w:tc>
          <w:tcPr>
            <w:tcW w:w="7175" w:type="dxa"/>
          </w:tcPr>
          <w:p w14:paraId="21E83B83" w14:textId="77777777" w:rsidR="00A12AEE" w:rsidRDefault="00000000">
            <w:pPr>
              <w:rPr>
                <w:rFonts w:ascii="微软雅黑" w:eastAsia="微软雅黑" w:hAnsi="微软雅黑"/>
                <w:szCs w:val="21"/>
              </w:rPr>
            </w:pPr>
            <w:r>
              <w:rPr>
                <w:rFonts w:ascii="微软雅黑" w:eastAsia="微软雅黑" w:hAnsi="微软雅黑" w:hint="eastAsia"/>
                <w:szCs w:val="21"/>
              </w:rPr>
              <w:t>系统支持运维数据分析功能，可通过业务系统视角、技术视角和业务用户视角分别跟进当前工作情况，用于运维例会的分析和讨论。</w:t>
            </w:r>
          </w:p>
          <w:p w14:paraId="653FC1F7" w14:textId="77777777" w:rsidR="00A12AEE" w:rsidRDefault="00000000">
            <w:pPr>
              <w:pStyle w:val="af4"/>
              <w:ind w:left="0"/>
              <w:jc w:val="left"/>
              <w:rPr>
                <w:rFonts w:ascii="微软雅黑" w:eastAsia="微软雅黑" w:hAnsi="微软雅黑"/>
                <w:szCs w:val="21"/>
              </w:rPr>
            </w:pPr>
            <w:r>
              <w:rPr>
                <w:rFonts w:ascii="微软雅黑" w:eastAsia="微软雅黑" w:hAnsi="微软雅黑" w:hint="eastAsia"/>
                <w:szCs w:val="21"/>
              </w:rPr>
              <w:t>1.业务系统视角包括：故障量的分布情况、系统性能波动情况、系统配置变更情况、服务支持分布情况和关键问题跟进情况等信息。</w:t>
            </w:r>
          </w:p>
          <w:p w14:paraId="5A011578" w14:textId="77777777" w:rsidR="00A12AEE" w:rsidRDefault="00000000">
            <w:pPr>
              <w:pStyle w:val="af4"/>
              <w:ind w:left="0"/>
              <w:rPr>
                <w:rFonts w:ascii="微软雅黑" w:eastAsia="微软雅黑" w:hAnsi="微软雅黑"/>
                <w:szCs w:val="21"/>
              </w:rPr>
            </w:pPr>
            <w:r>
              <w:rPr>
                <w:rFonts w:ascii="微软雅黑" w:eastAsia="微软雅黑" w:hAnsi="微软雅黑" w:hint="eastAsia"/>
                <w:szCs w:val="21"/>
              </w:rPr>
              <w:t>2.技术视角包括：IT设备故障和异常情况和IT资源使用情况等。</w:t>
            </w:r>
          </w:p>
        </w:tc>
      </w:tr>
    </w:tbl>
    <w:p w14:paraId="5A4EA93E" w14:textId="3D062908" w:rsidR="00A12AEE" w:rsidRPr="00E4494A" w:rsidRDefault="00E4494A" w:rsidP="00E4494A">
      <w:pPr>
        <w:pStyle w:val="af4"/>
        <w:numPr>
          <w:ilvl w:val="0"/>
          <w:numId w:val="3"/>
        </w:numPr>
        <w:adjustRightInd w:val="0"/>
        <w:spacing w:beforeLines="100" w:before="240" w:afterLines="50" w:after="120" w:line="300" w:lineRule="exact"/>
        <w:ind w:left="0" w:firstLine="0"/>
        <w:outlineLvl w:val="0"/>
        <w:rPr>
          <w:rFonts w:ascii="宋体" w:hAnsi="宋体" w:cs="宋体"/>
          <w:b/>
          <w:color w:val="000000"/>
          <w:sz w:val="32"/>
          <w:szCs w:val="32"/>
        </w:rPr>
      </w:pPr>
      <w:r w:rsidRPr="00E4494A">
        <w:rPr>
          <w:rFonts w:ascii="宋体" w:hAnsi="宋体" w:cs="宋体" w:hint="eastAsia"/>
          <w:b/>
          <w:color w:val="000000"/>
          <w:sz w:val="32"/>
          <w:szCs w:val="32"/>
        </w:rPr>
        <w:t>商务要求</w:t>
      </w:r>
    </w:p>
    <w:p w14:paraId="66E3DE9E"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1.项目完成期限及服务地点</w:t>
      </w:r>
    </w:p>
    <w:p w14:paraId="4EE02E49"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lastRenderedPageBreak/>
        <w:t>1.1 项目完成期限：合同签订生效后，在接到采购人正式通知的前提下180日内完成并上线运行，交付采购人验收。</w:t>
      </w:r>
    </w:p>
    <w:p w14:paraId="095C8D06"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1.2 服务地点:四川省妇幼保健院指定地点。</w:t>
      </w:r>
    </w:p>
    <w:p w14:paraId="3E9AE53D"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2.付款方法和条件</w:t>
      </w:r>
    </w:p>
    <w:p w14:paraId="41DBC4F0" w14:textId="67177901" w:rsidR="00E54CE8" w:rsidRPr="00E4494A" w:rsidRDefault="00E4494A" w:rsidP="00E54CE8">
      <w:pPr>
        <w:rPr>
          <w:rFonts w:ascii="微软雅黑" w:eastAsia="微软雅黑" w:hAnsi="微软雅黑"/>
          <w:szCs w:val="21"/>
        </w:rPr>
      </w:pPr>
      <w:r w:rsidRPr="00E4494A">
        <w:rPr>
          <w:rFonts w:ascii="微软雅黑" w:eastAsia="微软雅黑" w:hAnsi="微软雅黑" w:hint="eastAsia"/>
          <w:szCs w:val="21"/>
        </w:rPr>
        <w:t>2.1</w:t>
      </w:r>
      <w:r w:rsidR="00E54CE8">
        <w:rPr>
          <w:rFonts w:ascii="微软雅黑" w:eastAsia="微软雅黑" w:hAnsi="微软雅黑"/>
          <w:szCs w:val="21"/>
        </w:rPr>
        <w:t xml:space="preserve"> </w:t>
      </w:r>
      <w:r w:rsidR="00E54CE8" w:rsidRPr="00E4494A">
        <w:rPr>
          <w:rFonts w:ascii="微软雅黑" w:eastAsia="微软雅黑" w:hAnsi="微软雅黑" w:hint="eastAsia"/>
          <w:szCs w:val="21"/>
        </w:rPr>
        <w:t>验收合格后60个工作日内采购人向投标人支付合同金额的</w:t>
      </w:r>
      <w:r w:rsidR="00E54CE8">
        <w:rPr>
          <w:rFonts w:ascii="微软雅黑" w:eastAsia="微软雅黑" w:hAnsi="微软雅黑"/>
          <w:szCs w:val="21"/>
        </w:rPr>
        <w:t>9</w:t>
      </w:r>
      <w:r w:rsidR="00E54CE8" w:rsidRPr="00E4494A">
        <w:rPr>
          <w:rFonts w:ascii="微软雅黑" w:eastAsia="微软雅黑" w:hAnsi="微软雅黑" w:hint="eastAsia"/>
          <w:szCs w:val="21"/>
        </w:rPr>
        <w:t>0%；</w:t>
      </w:r>
    </w:p>
    <w:p w14:paraId="12788FAB" w14:textId="3653A519"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 xml:space="preserve">2.2 </w:t>
      </w:r>
      <w:r w:rsidR="00E54CE8">
        <w:rPr>
          <w:rFonts w:ascii="微软雅黑" w:eastAsia="微软雅黑" w:hAnsi="微软雅黑" w:hint="eastAsia"/>
          <w:szCs w:val="21"/>
        </w:rPr>
        <w:t>质保期结束后支付合同金额的1</w:t>
      </w:r>
      <w:r w:rsidR="00E54CE8">
        <w:rPr>
          <w:rFonts w:ascii="微软雅黑" w:eastAsia="微软雅黑" w:hAnsi="微软雅黑"/>
          <w:szCs w:val="21"/>
        </w:rPr>
        <w:t>0</w:t>
      </w:r>
      <w:r w:rsidR="00E54CE8">
        <w:rPr>
          <w:rFonts w:ascii="微软雅黑" w:eastAsia="微软雅黑" w:hAnsi="微软雅黑" w:hint="eastAsia"/>
          <w:szCs w:val="21"/>
        </w:rPr>
        <w:t>%；</w:t>
      </w:r>
    </w:p>
    <w:p w14:paraId="362C4B2B" w14:textId="7663416F"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 xml:space="preserve">2.3 </w:t>
      </w:r>
      <w:r w:rsidR="00E54CE8" w:rsidRPr="00E4494A">
        <w:rPr>
          <w:rFonts w:ascii="微软雅黑" w:eastAsia="微软雅黑" w:hAnsi="微软雅黑" w:hint="eastAsia"/>
          <w:szCs w:val="21"/>
        </w:rPr>
        <w:t>支付前投标人向采购人提供等额增值税发票。</w:t>
      </w:r>
    </w:p>
    <w:p w14:paraId="7EA52B54"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3.质保期</w:t>
      </w:r>
    </w:p>
    <w:p w14:paraId="217C40F6"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3.1项目从全部验收通过并上线顺利运行之日起一年。质保期后的售后双方协商而定。</w:t>
      </w:r>
    </w:p>
    <w:p w14:paraId="36D4D231"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3.2在质保期内，用户服务工程师每年不少于2次定期巡检，在巡查过程中的维修不收取任何费用，巡检完成后形成报告，向采购人妇幼健康管理部和信息化部提交。</w:t>
      </w:r>
    </w:p>
    <w:p w14:paraId="1D907DD1"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4.报价要求</w:t>
      </w:r>
    </w:p>
    <w:p w14:paraId="4B377080"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本次报价包含完成本项目的所有费用，包含项目调研、咨询服务、方案制定、开发测试、部署实施、数据迁移、培训、税费等费用，采购人不再额外支付任何费用。</w:t>
      </w:r>
    </w:p>
    <w:p w14:paraId="28E3B378"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5.售后服务</w:t>
      </w:r>
    </w:p>
    <w:p w14:paraId="4268DBAF"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5.1投标人应有良好的服务理念和完善的售后服务体系，能够派遣工程师驻场技术服务直到最终完成上线。</w:t>
      </w:r>
    </w:p>
    <w:p w14:paraId="4BC0A14A"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5.2针对本项目，提出完整而切实可行的服务方案。其中，至少应提供7×24小时热线电话、远程网络、现场等服务方式。热线电话和远程网络提供技术咨询和即时服务，1小时内给予明确的响应并解决；现场服务适用于排解重大故障，应在接到医院服务请求后2小时内到达现场解决。</w:t>
      </w:r>
    </w:p>
    <w:p w14:paraId="37F8701F"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5.3项目从入场到全部验收通过，必须委派至少1名工程师进驻项目地专职负责现场服务。</w:t>
      </w:r>
    </w:p>
    <w:p w14:paraId="50F21FBD"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6.知识产权（提供承诺函）</w:t>
      </w:r>
    </w:p>
    <w:p w14:paraId="73B884A0"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6.1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14:paraId="08C4EEB5"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6.2采购人依法享有本项目开发实施过程中产生的相应知识成果及知识产权，产权归采购方。</w:t>
      </w:r>
    </w:p>
    <w:p w14:paraId="06063D8B"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6.3投标人如欲在项目开发实施过程中采用自有知识成果，需在投标文件中声明，并提供相关知识产权证明文件。使用</w:t>
      </w:r>
      <w:proofErr w:type="gramStart"/>
      <w:r w:rsidRPr="00E4494A">
        <w:rPr>
          <w:rFonts w:ascii="微软雅黑" w:eastAsia="微软雅黑" w:hAnsi="微软雅黑" w:hint="eastAsia"/>
          <w:szCs w:val="21"/>
        </w:rPr>
        <w:t>该知识</w:t>
      </w:r>
      <w:proofErr w:type="gramEnd"/>
      <w:r w:rsidRPr="00E4494A">
        <w:rPr>
          <w:rFonts w:ascii="微软雅黑" w:eastAsia="微软雅黑" w:hAnsi="微软雅黑" w:hint="eastAsia"/>
          <w:szCs w:val="21"/>
        </w:rPr>
        <w:t>成果后，投标人需提供开发接口和开发手册等技术文档，并承诺提供无限期技术支持，采购人享有永久使用权。</w:t>
      </w:r>
    </w:p>
    <w:p w14:paraId="3873C248"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6.4如采用投标人所不拥有的知识产权，则在投标报价中必须包括合法获取该知识产权的相关费用。</w:t>
      </w:r>
    </w:p>
    <w:p w14:paraId="4BF11441"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7.验收标准</w:t>
      </w:r>
    </w:p>
    <w:p w14:paraId="7AA2E21E"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7.1中标人与采购人将严格按照《财政部关于进一步加强政府采购需求和履约验收管理的指导意见》(财库〔2016〕205号)的要求进行验收。</w:t>
      </w:r>
    </w:p>
    <w:p w14:paraId="55C9974D"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7.2以招标文件技术参数及要求和相关行业标准为准。</w:t>
      </w:r>
    </w:p>
    <w:p w14:paraId="31BE4F4C"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8.其他要求</w:t>
      </w:r>
    </w:p>
    <w:p w14:paraId="6CF4E6C8"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lastRenderedPageBreak/>
        <w:t>8.1服务期内（含质保期），如果因乙方原因造成甲方违反国家卫生行政管理部门或上级相关行政部门的规定被上级部门约谈、通报及处罚等情况发生，甲方有权对乙方进行以下处理：1.要求乙方承担甲方实际损失；2.同时，每发生一次，要求乙方承担成交金额的5%的违约金；情节严重的，每次乙方需承担成交金额的10%的违约金。乙方承担损失金额及违约金都将从合同款中扣除，扣除后不足部分由乙方补足。</w:t>
      </w:r>
    </w:p>
    <w:p w14:paraId="0A466E23"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8.2每半年开展一次服务满意度问卷调查，服务满意度不低于95%。</w:t>
      </w:r>
    </w:p>
    <w:p w14:paraId="4AFBE259"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8.3在系统上线前提供第三方出具的代码审计。</w:t>
      </w:r>
    </w:p>
    <w:p w14:paraId="3C273B90"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8.4面向医院提供源代码，项目验收前移交源代码。</w:t>
      </w:r>
    </w:p>
    <w:p w14:paraId="4824C4E0"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8.5系统上线前提供系统安全承诺书。</w:t>
      </w:r>
    </w:p>
    <w:p w14:paraId="45A19CBE"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8.6其余事项以合同为准。</w:t>
      </w:r>
    </w:p>
    <w:p w14:paraId="6406F6EB"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9.服务质量要求</w:t>
      </w:r>
    </w:p>
    <w:p w14:paraId="7A3B83AA"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提供7*24小时响应。紧急问题（影响用户数大于5人）需4小时内恢复，非紧急问题需48小时内恢复。</w:t>
      </w:r>
    </w:p>
    <w:p w14:paraId="5836F8FB" w14:textId="77777777" w:rsidR="00E4494A"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10 保密要求</w:t>
      </w:r>
    </w:p>
    <w:p w14:paraId="16BFA35E" w14:textId="4FFAA87F" w:rsidR="00A12AEE" w:rsidRPr="00E4494A" w:rsidRDefault="00E4494A" w:rsidP="00E4494A">
      <w:pPr>
        <w:rPr>
          <w:rFonts w:ascii="微软雅黑" w:eastAsia="微软雅黑" w:hAnsi="微软雅黑"/>
          <w:szCs w:val="21"/>
        </w:rPr>
      </w:pPr>
      <w:r w:rsidRPr="00E4494A">
        <w:rPr>
          <w:rFonts w:ascii="微软雅黑" w:eastAsia="微软雅黑" w:hAnsi="微软雅黑" w:hint="eastAsia"/>
          <w:szCs w:val="21"/>
        </w:rPr>
        <w:t>保障系统运行信息安全，对系统中所有数据和资料进行保密、负有保密义务、不得外泄。</w:t>
      </w:r>
    </w:p>
    <w:p w14:paraId="068D11C6" w14:textId="78B7EBFE" w:rsidR="00A12AEE" w:rsidRPr="009E76FF" w:rsidRDefault="00000000" w:rsidP="009E76FF">
      <w:pPr>
        <w:pStyle w:val="af4"/>
        <w:numPr>
          <w:ilvl w:val="0"/>
          <w:numId w:val="3"/>
        </w:numPr>
        <w:adjustRightInd w:val="0"/>
        <w:spacing w:beforeLines="100" w:before="240" w:afterLines="50" w:after="120" w:line="300" w:lineRule="exact"/>
        <w:ind w:left="0" w:firstLine="0"/>
        <w:outlineLvl w:val="0"/>
        <w:rPr>
          <w:rFonts w:ascii="宋体" w:hAnsi="宋体" w:cs="宋体"/>
          <w:b/>
          <w:color w:val="000000"/>
          <w:sz w:val="32"/>
          <w:szCs w:val="32"/>
        </w:rPr>
      </w:pPr>
      <w:r w:rsidRPr="009E76FF">
        <w:rPr>
          <w:rFonts w:ascii="宋体" w:hAnsi="宋体" w:cs="宋体" w:hint="eastAsia"/>
          <w:b/>
          <w:color w:val="000000"/>
          <w:sz w:val="32"/>
          <w:szCs w:val="32"/>
        </w:rPr>
        <w:t>评分标准</w:t>
      </w:r>
    </w:p>
    <w:tbl>
      <w:tblPr>
        <w:tblpPr w:leftFromText="180" w:rightFromText="180" w:vertAnchor="text" w:horzAnchor="margin" w:tblpX="-558" w:tblpY="81"/>
        <w:tblOverlap w:val="never"/>
        <w:tblW w:w="53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1277"/>
        <w:gridCol w:w="956"/>
        <w:gridCol w:w="5616"/>
        <w:gridCol w:w="1277"/>
      </w:tblGrid>
      <w:tr w:rsidR="00A12AEE" w14:paraId="0815B3FE" w14:textId="77777777">
        <w:trPr>
          <w:trHeight w:val="559"/>
        </w:trPr>
        <w:tc>
          <w:tcPr>
            <w:tcW w:w="399" w:type="pct"/>
            <w:vAlign w:val="center"/>
          </w:tcPr>
          <w:p w14:paraId="6CEF923F" w14:textId="77777777" w:rsidR="00A12AEE" w:rsidRDefault="00000000">
            <w:pPr>
              <w:widowControl/>
              <w:jc w:val="center"/>
              <w:rPr>
                <w:rFonts w:ascii="宋体" w:hAnsi="宋体" w:cs="宋体"/>
                <w:kern w:val="0"/>
                <w:szCs w:val="21"/>
              </w:rPr>
            </w:pPr>
            <w:r>
              <w:rPr>
                <w:rFonts w:ascii="宋体" w:hAnsi="宋体" w:cs="宋体" w:hint="eastAsia"/>
                <w:b/>
                <w:kern w:val="0"/>
                <w:szCs w:val="21"/>
              </w:rPr>
              <w:t>序号</w:t>
            </w:r>
          </w:p>
        </w:tc>
        <w:tc>
          <w:tcPr>
            <w:tcW w:w="644" w:type="pct"/>
            <w:vAlign w:val="center"/>
          </w:tcPr>
          <w:p w14:paraId="3DCA795E" w14:textId="77777777" w:rsidR="00A12AEE" w:rsidRDefault="00000000">
            <w:pPr>
              <w:widowControl/>
              <w:jc w:val="center"/>
              <w:rPr>
                <w:rFonts w:ascii="宋体" w:hAnsi="宋体" w:cs="宋体"/>
                <w:kern w:val="0"/>
                <w:szCs w:val="21"/>
              </w:rPr>
            </w:pPr>
            <w:r>
              <w:rPr>
                <w:rFonts w:ascii="宋体" w:hAnsi="宋体" w:cs="宋体" w:hint="eastAsia"/>
                <w:b/>
                <w:kern w:val="0"/>
                <w:szCs w:val="21"/>
              </w:rPr>
              <w:t>评分因素</w:t>
            </w:r>
          </w:p>
        </w:tc>
        <w:tc>
          <w:tcPr>
            <w:tcW w:w="482" w:type="pct"/>
            <w:vAlign w:val="center"/>
          </w:tcPr>
          <w:p w14:paraId="1B9ED601" w14:textId="77777777" w:rsidR="00A12AEE" w:rsidRDefault="00000000">
            <w:pPr>
              <w:widowControl/>
              <w:jc w:val="center"/>
              <w:rPr>
                <w:rFonts w:ascii="宋体" w:hAnsi="宋体" w:cs="宋体"/>
                <w:kern w:val="0"/>
                <w:szCs w:val="21"/>
              </w:rPr>
            </w:pPr>
            <w:r>
              <w:rPr>
                <w:rFonts w:ascii="宋体" w:hAnsi="宋体" w:cs="宋体" w:hint="eastAsia"/>
                <w:b/>
                <w:kern w:val="0"/>
                <w:szCs w:val="21"/>
              </w:rPr>
              <w:t>分值</w:t>
            </w:r>
          </w:p>
        </w:tc>
        <w:tc>
          <w:tcPr>
            <w:tcW w:w="2831" w:type="pct"/>
            <w:vAlign w:val="center"/>
          </w:tcPr>
          <w:p w14:paraId="3784A973" w14:textId="77777777" w:rsidR="00A12AEE" w:rsidRDefault="00000000">
            <w:pPr>
              <w:widowControl/>
              <w:jc w:val="center"/>
              <w:rPr>
                <w:rFonts w:ascii="宋体" w:hAnsi="宋体" w:cs="宋体"/>
                <w:kern w:val="0"/>
                <w:szCs w:val="21"/>
              </w:rPr>
            </w:pPr>
            <w:r>
              <w:rPr>
                <w:rFonts w:ascii="宋体" w:hAnsi="宋体" w:cs="宋体" w:hint="eastAsia"/>
                <w:b/>
                <w:kern w:val="0"/>
                <w:szCs w:val="21"/>
              </w:rPr>
              <w:t>评分标准</w:t>
            </w:r>
          </w:p>
        </w:tc>
        <w:tc>
          <w:tcPr>
            <w:tcW w:w="644" w:type="pct"/>
            <w:vAlign w:val="center"/>
          </w:tcPr>
          <w:p w14:paraId="77656662" w14:textId="77777777" w:rsidR="00A12AEE" w:rsidRDefault="00000000">
            <w:pPr>
              <w:widowControl/>
              <w:jc w:val="center"/>
              <w:rPr>
                <w:rFonts w:ascii="宋体" w:hAnsi="宋体" w:cs="宋体"/>
                <w:b/>
                <w:kern w:val="0"/>
                <w:szCs w:val="21"/>
              </w:rPr>
            </w:pPr>
            <w:r>
              <w:rPr>
                <w:rFonts w:ascii="宋体" w:hAnsi="宋体" w:cs="宋体" w:hint="eastAsia"/>
                <w:b/>
                <w:kern w:val="0"/>
                <w:szCs w:val="21"/>
              </w:rPr>
              <w:t>说明</w:t>
            </w:r>
          </w:p>
        </w:tc>
      </w:tr>
      <w:tr w:rsidR="00A12AEE" w14:paraId="56D80705" w14:textId="77777777">
        <w:trPr>
          <w:trHeight w:val="680"/>
        </w:trPr>
        <w:tc>
          <w:tcPr>
            <w:tcW w:w="399" w:type="pct"/>
            <w:vAlign w:val="center"/>
          </w:tcPr>
          <w:p w14:paraId="43A6CA73" w14:textId="77777777" w:rsidR="00A12AEE" w:rsidRDefault="00000000">
            <w:pPr>
              <w:widowControl/>
              <w:jc w:val="center"/>
              <w:rPr>
                <w:rFonts w:ascii="宋体" w:hAnsi="宋体" w:cs="宋体"/>
                <w:kern w:val="0"/>
                <w:szCs w:val="21"/>
              </w:rPr>
            </w:pPr>
            <w:r>
              <w:rPr>
                <w:rFonts w:ascii="宋体" w:hAnsi="宋体" w:cs="宋体" w:hint="eastAsia"/>
                <w:kern w:val="0"/>
                <w:szCs w:val="21"/>
              </w:rPr>
              <w:t>1</w:t>
            </w:r>
          </w:p>
        </w:tc>
        <w:tc>
          <w:tcPr>
            <w:tcW w:w="644" w:type="pct"/>
            <w:vAlign w:val="center"/>
          </w:tcPr>
          <w:p w14:paraId="70B179F0" w14:textId="77777777" w:rsidR="00A12AEE" w:rsidRDefault="00000000">
            <w:pPr>
              <w:widowControl/>
              <w:jc w:val="center"/>
              <w:rPr>
                <w:rFonts w:ascii="宋体" w:hAnsi="宋体" w:cs="宋体"/>
                <w:kern w:val="0"/>
                <w:szCs w:val="21"/>
              </w:rPr>
            </w:pPr>
            <w:r>
              <w:rPr>
                <w:rFonts w:ascii="宋体" w:hAnsi="宋体" w:cs="宋体" w:hint="eastAsia"/>
                <w:kern w:val="0"/>
                <w:szCs w:val="21"/>
              </w:rPr>
              <w:t>报价</w:t>
            </w:r>
          </w:p>
        </w:tc>
        <w:tc>
          <w:tcPr>
            <w:tcW w:w="482" w:type="pct"/>
            <w:vAlign w:val="center"/>
          </w:tcPr>
          <w:p w14:paraId="639FD60F" w14:textId="77777777" w:rsidR="00A12AEE" w:rsidRDefault="00000000">
            <w:pPr>
              <w:widowControl/>
              <w:jc w:val="center"/>
              <w:rPr>
                <w:rFonts w:ascii="宋体" w:hAnsi="宋体" w:cs="宋体"/>
                <w:kern w:val="0"/>
                <w:szCs w:val="21"/>
              </w:rPr>
            </w:pPr>
            <w:r>
              <w:rPr>
                <w:rFonts w:ascii="宋体" w:hAnsi="宋体" w:cs="宋体"/>
                <w:kern w:val="0"/>
                <w:szCs w:val="21"/>
              </w:rPr>
              <w:t>30</w:t>
            </w:r>
            <w:r>
              <w:rPr>
                <w:rFonts w:ascii="宋体" w:hAnsi="宋体" w:cs="宋体" w:hint="eastAsia"/>
                <w:kern w:val="0"/>
                <w:szCs w:val="21"/>
              </w:rPr>
              <w:t>分</w:t>
            </w:r>
          </w:p>
        </w:tc>
        <w:tc>
          <w:tcPr>
            <w:tcW w:w="2831" w:type="pct"/>
            <w:vAlign w:val="center"/>
          </w:tcPr>
          <w:p w14:paraId="05E3F09E" w14:textId="77777777" w:rsidR="00A12AEE" w:rsidRDefault="00000000">
            <w:pPr>
              <w:widowControl/>
              <w:jc w:val="left"/>
              <w:rPr>
                <w:rFonts w:ascii="宋体" w:hAnsi="宋体" w:cs="宋体"/>
                <w:kern w:val="0"/>
                <w:szCs w:val="21"/>
              </w:rPr>
            </w:pPr>
            <w:r>
              <w:rPr>
                <w:rFonts w:ascii="宋体" w:hAnsi="宋体" w:cs="宋体" w:hint="eastAsia"/>
                <w:kern w:val="0"/>
                <w:szCs w:val="21"/>
              </w:rPr>
              <w:t>满足招标文件要求且投标价格最低的有效投标报价为评标基准价，其投标人的报价分为</w:t>
            </w:r>
            <w:r>
              <w:rPr>
                <w:rFonts w:ascii="宋体" w:hAnsi="宋体" w:cs="宋体"/>
                <w:kern w:val="0"/>
                <w:szCs w:val="21"/>
              </w:rPr>
              <w:t>30</w:t>
            </w:r>
            <w:r>
              <w:rPr>
                <w:rFonts w:ascii="宋体" w:hAnsi="宋体" w:cs="宋体" w:hint="eastAsia"/>
                <w:kern w:val="0"/>
                <w:szCs w:val="21"/>
              </w:rPr>
              <w:t>分。其他投标人的报价分按以下公式计算：报价得分=(评标基准价／投标报价)×</w:t>
            </w:r>
            <w:r>
              <w:rPr>
                <w:rFonts w:ascii="宋体" w:hAnsi="宋体" w:cs="宋体"/>
                <w:kern w:val="0"/>
                <w:szCs w:val="21"/>
              </w:rPr>
              <w:t>30</w:t>
            </w:r>
            <w:r>
              <w:rPr>
                <w:rFonts w:ascii="宋体" w:hAnsi="宋体" w:cs="宋体" w:hint="eastAsia"/>
                <w:kern w:val="0"/>
                <w:szCs w:val="21"/>
              </w:rPr>
              <w:t>。</w:t>
            </w:r>
          </w:p>
        </w:tc>
        <w:tc>
          <w:tcPr>
            <w:tcW w:w="644" w:type="pct"/>
            <w:vAlign w:val="center"/>
          </w:tcPr>
          <w:p w14:paraId="149297D8" w14:textId="77777777" w:rsidR="00A12AEE" w:rsidRDefault="00000000">
            <w:pPr>
              <w:autoSpaceDE w:val="0"/>
              <w:autoSpaceDN w:val="0"/>
              <w:adjustRightInd w:val="0"/>
              <w:jc w:val="left"/>
              <w:rPr>
                <w:rFonts w:ascii="宋体" w:hAnsi="宋体" w:cs="宋体"/>
                <w:kern w:val="0"/>
                <w:szCs w:val="21"/>
              </w:rPr>
            </w:pPr>
            <w:r>
              <w:rPr>
                <w:rFonts w:ascii="宋体" w:hAnsi="宋体" w:cs="宋体" w:hint="eastAsia"/>
                <w:szCs w:val="21"/>
              </w:rPr>
              <w:t>共同评审因素</w:t>
            </w:r>
          </w:p>
        </w:tc>
      </w:tr>
      <w:tr w:rsidR="00A12AEE" w14:paraId="082D5A45" w14:textId="77777777">
        <w:trPr>
          <w:trHeight w:val="1121"/>
        </w:trPr>
        <w:tc>
          <w:tcPr>
            <w:tcW w:w="399" w:type="pct"/>
            <w:vAlign w:val="center"/>
          </w:tcPr>
          <w:p w14:paraId="38922495" w14:textId="77777777" w:rsidR="00A12AEE" w:rsidRDefault="00000000">
            <w:pPr>
              <w:widowControl/>
              <w:jc w:val="center"/>
              <w:rPr>
                <w:rFonts w:ascii="宋体" w:hAnsi="宋体" w:cs="宋体"/>
                <w:color w:val="000000" w:themeColor="text1"/>
                <w:kern w:val="0"/>
                <w:szCs w:val="21"/>
              </w:rPr>
            </w:pPr>
            <w:r>
              <w:rPr>
                <w:rFonts w:ascii="宋体" w:hAnsi="宋体" w:cs="宋体"/>
                <w:color w:val="000000" w:themeColor="text1"/>
                <w:kern w:val="0"/>
                <w:szCs w:val="21"/>
              </w:rPr>
              <w:t>2</w:t>
            </w:r>
          </w:p>
        </w:tc>
        <w:tc>
          <w:tcPr>
            <w:tcW w:w="644" w:type="pct"/>
            <w:vAlign w:val="center"/>
          </w:tcPr>
          <w:p w14:paraId="599232D5" w14:textId="77777777" w:rsidR="00A12AEE" w:rsidRDefault="00000000">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技术参数响应</w:t>
            </w:r>
          </w:p>
        </w:tc>
        <w:tc>
          <w:tcPr>
            <w:tcW w:w="482" w:type="pct"/>
            <w:vAlign w:val="center"/>
          </w:tcPr>
          <w:p w14:paraId="58B4F2E3" w14:textId="77777777" w:rsidR="00A12AEE" w:rsidRDefault="00000000">
            <w:pPr>
              <w:widowControl/>
              <w:jc w:val="center"/>
              <w:rPr>
                <w:rFonts w:ascii="宋体" w:hAnsi="宋体" w:cs="宋体"/>
                <w:color w:val="000000" w:themeColor="text1"/>
                <w:kern w:val="0"/>
                <w:szCs w:val="21"/>
              </w:rPr>
            </w:pPr>
            <w:r>
              <w:rPr>
                <w:rFonts w:ascii="宋体" w:hAnsi="宋体" w:cs="宋体"/>
                <w:color w:val="000000" w:themeColor="text1"/>
                <w:kern w:val="0"/>
                <w:szCs w:val="21"/>
              </w:rPr>
              <w:t>30分</w:t>
            </w:r>
          </w:p>
        </w:tc>
        <w:tc>
          <w:tcPr>
            <w:tcW w:w="2831" w:type="pct"/>
            <w:vAlign w:val="center"/>
          </w:tcPr>
          <w:p w14:paraId="30D6E2AE" w14:textId="77777777" w:rsidR="00A12AEE" w:rsidRDefault="00000000">
            <w:pPr>
              <w:widowControl/>
              <w:jc w:val="left"/>
              <w:rPr>
                <w:rFonts w:ascii="宋体" w:hAnsi="宋体" w:cs="宋体"/>
                <w:color w:val="000000" w:themeColor="text1"/>
                <w:kern w:val="0"/>
                <w:szCs w:val="21"/>
              </w:rPr>
            </w:pPr>
            <w:r>
              <w:rPr>
                <w:rFonts w:ascii="宋体" w:hAnsi="宋体" w:cs="宋体"/>
                <w:color w:val="000000" w:themeColor="text1"/>
                <w:kern w:val="0"/>
                <w:szCs w:val="21"/>
              </w:rPr>
              <w:t>1.投标人完全符合或优于招标文件技术、商务及其他要求，没有负偏离的得30分；</w:t>
            </w:r>
          </w:p>
          <w:p w14:paraId="3EC2FC7C" w14:textId="77777777" w:rsidR="00A12AEE" w:rsidRDefault="00000000">
            <w:pPr>
              <w:widowControl/>
              <w:jc w:val="left"/>
              <w:rPr>
                <w:rFonts w:ascii="宋体" w:hAnsi="宋体" w:cs="宋体"/>
                <w:color w:val="000000" w:themeColor="text1"/>
                <w:kern w:val="0"/>
                <w:szCs w:val="21"/>
              </w:rPr>
            </w:pPr>
            <w:r>
              <w:rPr>
                <w:rFonts w:ascii="宋体" w:hAnsi="宋体" w:cs="宋体"/>
                <w:color w:val="000000" w:themeColor="text1"/>
                <w:kern w:val="0"/>
                <w:szCs w:val="21"/>
              </w:rPr>
              <w:t>2.未标识符号的参数为一般参数，不满足一般参数条款每一项扣2分，扣完为止。</w:t>
            </w:r>
          </w:p>
          <w:p w14:paraId="595D01A1" w14:textId="77777777" w:rsidR="00A12AEE" w:rsidRDefault="00000000">
            <w:pPr>
              <w:widowControl/>
              <w:spacing w:before="188"/>
              <w:ind w:right="24"/>
              <w:rPr>
                <w:rFonts w:ascii="宋体" w:hAnsi="宋体" w:cs="宋体"/>
                <w:sz w:val="22"/>
                <w:szCs w:val="22"/>
              </w:rPr>
            </w:pPr>
            <w:r>
              <w:rPr>
                <w:rFonts w:ascii="宋体" w:hAnsi="宋体" w:cs="宋体" w:hint="eastAsia"/>
                <w:color w:val="000000" w:themeColor="text1"/>
                <w:kern w:val="0"/>
                <w:szCs w:val="21"/>
              </w:rPr>
              <w:t>注：带“★”条款为实质性要求，不满足或负偏离投标文件无效。满足实质性要求需提供承诺函原件并加盖投标人公章。</w:t>
            </w:r>
          </w:p>
        </w:tc>
        <w:tc>
          <w:tcPr>
            <w:tcW w:w="644" w:type="pct"/>
            <w:vAlign w:val="center"/>
          </w:tcPr>
          <w:p w14:paraId="60145C7F" w14:textId="77777777" w:rsidR="00A12AEE" w:rsidRDefault="00000000">
            <w:pPr>
              <w:widowControl/>
              <w:jc w:val="left"/>
              <w:rPr>
                <w:rFonts w:ascii="宋体" w:hAnsi="宋体" w:cs="宋体"/>
                <w:kern w:val="0"/>
                <w:szCs w:val="21"/>
                <w:highlight w:val="yellow"/>
              </w:rPr>
            </w:pPr>
            <w:r>
              <w:rPr>
                <w:rFonts w:ascii="宋体" w:hAnsi="宋体" w:cs="宋体" w:hint="eastAsia"/>
                <w:kern w:val="0"/>
                <w:szCs w:val="21"/>
              </w:rPr>
              <w:t>共同评审因素</w:t>
            </w:r>
          </w:p>
        </w:tc>
      </w:tr>
      <w:tr w:rsidR="00A12AEE" w14:paraId="5BCABEEF" w14:textId="77777777">
        <w:trPr>
          <w:trHeight w:val="398"/>
        </w:trPr>
        <w:tc>
          <w:tcPr>
            <w:tcW w:w="399" w:type="pct"/>
            <w:vAlign w:val="center"/>
          </w:tcPr>
          <w:p w14:paraId="4EECAC48" w14:textId="77777777" w:rsidR="00A12AEE" w:rsidRDefault="00000000">
            <w:pPr>
              <w:widowControl/>
              <w:jc w:val="center"/>
              <w:rPr>
                <w:rFonts w:ascii="宋体" w:hAnsi="宋体" w:cs="宋体"/>
                <w:color w:val="000000" w:themeColor="text1"/>
                <w:kern w:val="0"/>
                <w:szCs w:val="21"/>
              </w:rPr>
            </w:pPr>
            <w:r>
              <w:rPr>
                <w:rFonts w:ascii="宋体" w:hAnsi="宋体" w:cs="宋体"/>
                <w:color w:val="000000" w:themeColor="text1"/>
                <w:kern w:val="0"/>
                <w:szCs w:val="21"/>
              </w:rPr>
              <w:t>3</w:t>
            </w:r>
          </w:p>
        </w:tc>
        <w:tc>
          <w:tcPr>
            <w:tcW w:w="644" w:type="pct"/>
            <w:vAlign w:val="center"/>
          </w:tcPr>
          <w:p w14:paraId="689A2E3B" w14:textId="77777777" w:rsidR="00A12AEE" w:rsidRDefault="00000000">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综合实力</w:t>
            </w:r>
          </w:p>
        </w:tc>
        <w:tc>
          <w:tcPr>
            <w:tcW w:w="482" w:type="pct"/>
            <w:vAlign w:val="center"/>
          </w:tcPr>
          <w:p w14:paraId="7DEC72BC" w14:textId="77777777" w:rsidR="00A12AEE" w:rsidRDefault="00000000">
            <w:pPr>
              <w:pStyle w:val="a5"/>
              <w:spacing w:after="0"/>
              <w:rPr>
                <w:rFonts w:ascii="宋体" w:hAnsi="宋体" w:cs="宋体"/>
                <w:color w:val="000000" w:themeColor="text1"/>
                <w:szCs w:val="21"/>
              </w:rPr>
            </w:pPr>
            <w:r>
              <w:rPr>
                <w:rFonts w:ascii="宋体" w:hAnsi="宋体" w:cs="宋体"/>
                <w:color w:val="000000" w:themeColor="text1"/>
                <w:szCs w:val="21"/>
              </w:rPr>
              <w:t>10分</w:t>
            </w:r>
          </w:p>
        </w:tc>
        <w:tc>
          <w:tcPr>
            <w:tcW w:w="2831" w:type="pct"/>
            <w:vAlign w:val="center"/>
          </w:tcPr>
          <w:p w14:paraId="72FA8650" w14:textId="77777777" w:rsidR="00A12AEE" w:rsidRDefault="00000000">
            <w:pPr>
              <w:pStyle w:val="a5"/>
              <w:spacing w:after="0"/>
              <w:rPr>
                <w:rFonts w:ascii="宋体" w:hAnsi="宋体" w:cs="宋体"/>
                <w:color w:val="000000" w:themeColor="text1"/>
                <w:szCs w:val="21"/>
              </w:rPr>
            </w:pPr>
            <w:r>
              <w:rPr>
                <w:rFonts w:ascii="宋体" w:hAnsi="宋体" w:cs="宋体"/>
                <w:color w:val="000000" w:themeColor="text1"/>
                <w:szCs w:val="21"/>
              </w:rPr>
              <w:t>1.自2020年1月1日至今，投标人具有</w:t>
            </w:r>
            <w:r>
              <w:rPr>
                <w:rFonts w:ascii="宋体" w:hAnsi="宋体" w:cs="宋体" w:hint="eastAsia"/>
                <w:color w:val="000000" w:themeColor="text1"/>
                <w:szCs w:val="21"/>
              </w:rPr>
              <w:t>相关</w:t>
            </w:r>
            <w:r>
              <w:rPr>
                <w:rFonts w:ascii="宋体" w:hAnsi="宋体" w:cs="宋体"/>
                <w:color w:val="000000" w:themeColor="text1"/>
                <w:szCs w:val="21"/>
              </w:rPr>
              <w:t>业绩的，每有一个得2分，最多得10分。</w:t>
            </w:r>
            <w:r>
              <w:rPr>
                <w:rFonts w:ascii="宋体" w:hAnsi="宋体" w:cs="宋体" w:hint="eastAsia"/>
                <w:color w:val="000000" w:themeColor="text1"/>
                <w:szCs w:val="21"/>
              </w:rPr>
              <w:t>（</w:t>
            </w:r>
            <w:r>
              <w:rPr>
                <w:rFonts w:ascii="宋体" w:hAnsi="宋体" w:cs="宋体"/>
                <w:color w:val="000000" w:themeColor="text1"/>
                <w:szCs w:val="21"/>
              </w:rPr>
              <w:t>需提供</w:t>
            </w:r>
            <w:r>
              <w:rPr>
                <w:rFonts w:ascii="宋体" w:hAnsi="宋体" w:cs="宋体" w:hint="eastAsia"/>
                <w:color w:val="000000" w:themeColor="text1"/>
                <w:szCs w:val="21"/>
              </w:rPr>
              <w:t>合同复印件，以签订时间为准不提供不得分）</w:t>
            </w:r>
          </w:p>
        </w:tc>
        <w:tc>
          <w:tcPr>
            <w:tcW w:w="644" w:type="pct"/>
            <w:vAlign w:val="center"/>
          </w:tcPr>
          <w:p w14:paraId="0FFF9A2F" w14:textId="77777777" w:rsidR="00A12AEE" w:rsidRDefault="00000000">
            <w:pPr>
              <w:autoSpaceDE w:val="0"/>
              <w:autoSpaceDN w:val="0"/>
              <w:adjustRightInd w:val="0"/>
              <w:jc w:val="left"/>
              <w:rPr>
                <w:rFonts w:ascii="宋体" w:hAnsi="宋体" w:cs="宋体"/>
                <w:kern w:val="0"/>
                <w:szCs w:val="21"/>
              </w:rPr>
            </w:pPr>
            <w:r>
              <w:rPr>
                <w:rFonts w:ascii="宋体" w:hAnsi="宋体" w:cs="宋体" w:hint="eastAsia"/>
                <w:szCs w:val="21"/>
              </w:rPr>
              <w:t>共同评审因素</w:t>
            </w:r>
          </w:p>
        </w:tc>
      </w:tr>
      <w:tr w:rsidR="00A12AEE" w14:paraId="36E1F3AC" w14:textId="77777777">
        <w:trPr>
          <w:trHeight w:val="398"/>
        </w:trPr>
        <w:tc>
          <w:tcPr>
            <w:tcW w:w="399" w:type="pct"/>
            <w:vAlign w:val="center"/>
          </w:tcPr>
          <w:p w14:paraId="0C0BCA11" w14:textId="77777777" w:rsidR="00A12AEE" w:rsidRDefault="00000000">
            <w:pPr>
              <w:widowControl/>
              <w:jc w:val="center"/>
              <w:rPr>
                <w:rFonts w:ascii="宋体" w:hAnsi="宋体" w:cs="宋体"/>
                <w:color w:val="000000" w:themeColor="text1"/>
                <w:kern w:val="0"/>
                <w:szCs w:val="21"/>
              </w:rPr>
            </w:pPr>
            <w:r>
              <w:rPr>
                <w:rFonts w:ascii="宋体" w:hAnsi="宋体" w:cs="宋体"/>
                <w:color w:val="000000" w:themeColor="text1"/>
                <w:kern w:val="0"/>
                <w:szCs w:val="21"/>
              </w:rPr>
              <w:t>4</w:t>
            </w:r>
          </w:p>
        </w:tc>
        <w:tc>
          <w:tcPr>
            <w:tcW w:w="644" w:type="pct"/>
            <w:vAlign w:val="center"/>
          </w:tcPr>
          <w:p w14:paraId="3B53AF97" w14:textId="77777777" w:rsidR="00A12AEE" w:rsidRDefault="00000000">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服务方案</w:t>
            </w:r>
          </w:p>
        </w:tc>
        <w:tc>
          <w:tcPr>
            <w:tcW w:w="482" w:type="pct"/>
            <w:vAlign w:val="center"/>
          </w:tcPr>
          <w:p w14:paraId="1483FD4A" w14:textId="77777777" w:rsidR="00A12AEE" w:rsidRDefault="00000000">
            <w:pPr>
              <w:widowControl/>
              <w:jc w:val="center"/>
              <w:rPr>
                <w:rFonts w:ascii="宋体" w:hAnsi="宋体" w:cs="宋体"/>
                <w:color w:val="000000" w:themeColor="text1"/>
                <w:kern w:val="0"/>
                <w:szCs w:val="21"/>
              </w:rPr>
            </w:pPr>
            <w:r>
              <w:rPr>
                <w:rFonts w:ascii="宋体" w:hAnsi="宋体" w:cs="宋体"/>
                <w:color w:val="000000" w:themeColor="text1"/>
                <w:kern w:val="0"/>
                <w:szCs w:val="21"/>
              </w:rPr>
              <w:t>16</w:t>
            </w:r>
            <w:r>
              <w:rPr>
                <w:rFonts w:ascii="宋体" w:hAnsi="宋体" w:cs="宋体" w:hint="eastAsia"/>
                <w:color w:val="000000" w:themeColor="text1"/>
                <w:kern w:val="0"/>
                <w:szCs w:val="21"/>
              </w:rPr>
              <w:t>分</w:t>
            </w:r>
          </w:p>
        </w:tc>
        <w:tc>
          <w:tcPr>
            <w:tcW w:w="2831" w:type="pct"/>
            <w:vAlign w:val="center"/>
          </w:tcPr>
          <w:p w14:paraId="2698B3A9" w14:textId="77777777" w:rsidR="00A12AEE" w:rsidRDefault="00000000">
            <w:pPr>
              <w:widowControl/>
              <w:jc w:val="left"/>
              <w:rPr>
                <w:rFonts w:ascii="宋体" w:hAnsi="宋体" w:cs="宋体"/>
                <w:color w:val="000000" w:themeColor="text1"/>
                <w:szCs w:val="21"/>
              </w:rPr>
            </w:pPr>
            <w:r>
              <w:rPr>
                <w:rFonts w:ascii="宋体" w:hAnsi="宋体" w:cs="宋体"/>
                <w:color w:val="000000" w:themeColor="text1"/>
                <w:kern w:val="0"/>
                <w:szCs w:val="21"/>
              </w:rPr>
              <w:t>1</w:t>
            </w:r>
            <w:r>
              <w:t>.</w:t>
            </w:r>
            <w:r>
              <w:t>评审供应商针对项目编制的服务方案，从</w:t>
            </w:r>
            <w:r>
              <w:rPr>
                <w:rFonts w:ascii="宋体" w:hAnsi="宋体" w:cs="宋体" w:hint="eastAsia"/>
              </w:rPr>
              <w:t>①</w:t>
            </w:r>
            <w:r>
              <w:t>项目交付物；</w:t>
            </w:r>
            <w:r>
              <w:rPr>
                <w:rFonts w:ascii="宋体" w:hAnsi="宋体" w:cs="宋体" w:hint="eastAsia"/>
              </w:rPr>
              <w:t>②</w:t>
            </w:r>
            <w:r>
              <w:t>质量保障措施；</w:t>
            </w:r>
            <w:r>
              <w:rPr>
                <w:rFonts w:ascii="宋体" w:hAnsi="宋体" w:cs="宋体" w:hint="eastAsia"/>
              </w:rPr>
              <w:t>③售后服务方案</w:t>
            </w:r>
            <w:r>
              <w:t>；</w:t>
            </w:r>
            <w:r>
              <w:rPr>
                <w:rFonts w:hint="eastAsia"/>
              </w:rPr>
              <w:t>④</w:t>
            </w:r>
            <w:r>
              <w:t>培训方案</w:t>
            </w:r>
            <w:r>
              <w:rPr>
                <w:rFonts w:hint="eastAsia"/>
              </w:rPr>
              <w:t>等四个方面评审，四个方面均描述详尽，条理清晰，理解正确的得</w:t>
            </w:r>
            <w:r>
              <w:t>16</w:t>
            </w:r>
            <w:r>
              <w:t>分；每缺少一个方面或每有一个方面与本项目无关的扣</w:t>
            </w:r>
            <w:r>
              <w:t>4</w:t>
            </w:r>
            <w:r>
              <w:t>分，每有一个方面描述简略或描述不清晰或理解存在偏差的扣</w:t>
            </w:r>
            <w:r>
              <w:t>2</w:t>
            </w:r>
            <w:r>
              <w:t>分，扣完为止</w:t>
            </w:r>
            <w:r>
              <w:rPr>
                <w:rFonts w:ascii="宋体" w:hAnsi="宋体" w:cs="宋体" w:hint="eastAsia"/>
                <w:color w:val="000000" w:themeColor="text1"/>
                <w:szCs w:val="21"/>
              </w:rPr>
              <w:t>。</w:t>
            </w:r>
          </w:p>
        </w:tc>
        <w:tc>
          <w:tcPr>
            <w:tcW w:w="644" w:type="pct"/>
            <w:vAlign w:val="center"/>
          </w:tcPr>
          <w:p w14:paraId="4B312193" w14:textId="77777777" w:rsidR="00A12AEE" w:rsidRDefault="00000000">
            <w:pPr>
              <w:autoSpaceDE w:val="0"/>
              <w:autoSpaceDN w:val="0"/>
              <w:adjustRightInd w:val="0"/>
              <w:jc w:val="left"/>
              <w:rPr>
                <w:rFonts w:ascii="宋体" w:hAnsi="宋体" w:cs="宋体"/>
                <w:szCs w:val="21"/>
              </w:rPr>
            </w:pPr>
            <w:r>
              <w:rPr>
                <w:rFonts w:ascii="宋体" w:hAnsi="宋体" w:cs="宋体" w:hint="eastAsia"/>
                <w:szCs w:val="21"/>
              </w:rPr>
              <w:t>共同评审因素</w:t>
            </w:r>
          </w:p>
        </w:tc>
      </w:tr>
      <w:tr w:rsidR="00A12AEE" w14:paraId="768FBA7F" w14:textId="77777777">
        <w:trPr>
          <w:trHeight w:val="680"/>
        </w:trPr>
        <w:tc>
          <w:tcPr>
            <w:tcW w:w="399" w:type="pct"/>
            <w:vAlign w:val="center"/>
          </w:tcPr>
          <w:p w14:paraId="154DDD36" w14:textId="77777777" w:rsidR="00A12AEE" w:rsidRDefault="00000000">
            <w:pPr>
              <w:widowControl/>
              <w:jc w:val="center"/>
              <w:rPr>
                <w:rFonts w:ascii="宋体" w:hAnsi="宋体" w:cs="宋体"/>
                <w:color w:val="000000" w:themeColor="text1"/>
                <w:kern w:val="0"/>
                <w:szCs w:val="21"/>
              </w:rPr>
            </w:pPr>
            <w:r>
              <w:rPr>
                <w:rFonts w:ascii="宋体" w:hAnsi="宋体" w:cs="宋体"/>
                <w:color w:val="000000" w:themeColor="text1"/>
                <w:kern w:val="0"/>
                <w:szCs w:val="21"/>
              </w:rPr>
              <w:lastRenderedPageBreak/>
              <w:t>5</w:t>
            </w:r>
          </w:p>
        </w:tc>
        <w:tc>
          <w:tcPr>
            <w:tcW w:w="644" w:type="pct"/>
            <w:vAlign w:val="center"/>
          </w:tcPr>
          <w:p w14:paraId="672C1E48" w14:textId="77777777" w:rsidR="00A12AEE" w:rsidRDefault="00000000">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安全管理及售后服务</w:t>
            </w:r>
          </w:p>
        </w:tc>
        <w:tc>
          <w:tcPr>
            <w:tcW w:w="482" w:type="pct"/>
            <w:vAlign w:val="center"/>
          </w:tcPr>
          <w:p w14:paraId="22929CCE" w14:textId="77777777" w:rsidR="00A12AEE" w:rsidRDefault="00000000">
            <w:pPr>
              <w:widowControl/>
              <w:jc w:val="center"/>
              <w:rPr>
                <w:rFonts w:ascii="宋体" w:hAnsi="宋体" w:cs="宋体"/>
                <w:color w:val="000000" w:themeColor="text1"/>
                <w:kern w:val="0"/>
                <w:szCs w:val="21"/>
              </w:rPr>
            </w:pPr>
            <w:r>
              <w:rPr>
                <w:rFonts w:ascii="宋体" w:hAnsi="宋体" w:cs="宋体"/>
                <w:color w:val="000000" w:themeColor="text1"/>
                <w:kern w:val="0"/>
                <w:szCs w:val="21"/>
              </w:rPr>
              <w:t>14分</w:t>
            </w:r>
          </w:p>
        </w:tc>
        <w:tc>
          <w:tcPr>
            <w:tcW w:w="2831" w:type="pct"/>
            <w:vAlign w:val="center"/>
          </w:tcPr>
          <w:p w14:paraId="6D964CD8" w14:textId="77777777" w:rsidR="00A12AEE" w:rsidRDefault="00000000">
            <w:pPr>
              <w:widowControl/>
              <w:tabs>
                <w:tab w:val="left" w:pos="4694"/>
              </w:tabs>
              <w:jc w:val="left"/>
            </w:pPr>
            <w:r>
              <w:rPr>
                <w:rFonts w:ascii="宋体" w:hAnsi="宋体" w:cs="宋体" w:hint="eastAsia"/>
                <w:color w:val="000000" w:themeColor="text1"/>
                <w:kern w:val="0"/>
                <w:szCs w:val="21"/>
              </w:rPr>
              <w:t>1</w:t>
            </w:r>
            <w:r>
              <w:rPr>
                <w:rFonts w:ascii="宋体" w:hAnsi="宋体" w:cs="宋体"/>
                <w:color w:val="000000" w:themeColor="text1"/>
                <w:kern w:val="0"/>
                <w:szCs w:val="21"/>
              </w:rPr>
              <w:t>.</w:t>
            </w:r>
            <w:r>
              <w:rPr>
                <w:rFonts w:ascii="宋体" w:hAnsi="宋体" w:cs="宋体" w:hint="eastAsia"/>
                <w:color w:val="000000" w:themeColor="text1"/>
                <w:kern w:val="0"/>
                <w:szCs w:val="21"/>
              </w:rPr>
              <w:t>根据投标人提供的安全管理方案包含：</w:t>
            </w:r>
            <w:r>
              <w:rPr>
                <w:rFonts w:hint="eastAsia"/>
              </w:rPr>
              <w:t>①信息安全保障措施；②安全管理制度；③应急预案三个方面，三个方面均描述详尽，条理清晰，理解正确的得</w:t>
            </w:r>
            <w:r>
              <w:t>9</w:t>
            </w:r>
            <w:r>
              <w:rPr>
                <w:rFonts w:hint="eastAsia"/>
              </w:rPr>
              <w:t>分；每缺少一个方面或每有一个方面与本项目无关的扣</w:t>
            </w:r>
            <w:r>
              <w:t>3</w:t>
            </w:r>
            <w:r>
              <w:rPr>
                <w:rFonts w:hint="eastAsia"/>
              </w:rPr>
              <w:t>分，每有一个方面描述简略或描述不清晰或理解存在偏差的扣</w:t>
            </w:r>
            <w:r>
              <w:t>1.5</w:t>
            </w:r>
            <w:r>
              <w:rPr>
                <w:rFonts w:hint="eastAsia"/>
              </w:rPr>
              <w:t>分，扣完为止。</w:t>
            </w:r>
          </w:p>
          <w:p w14:paraId="3A0EFBA5" w14:textId="77777777" w:rsidR="00A12AEE" w:rsidRDefault="00000000">
            <w:pPr>
              <w:widowControl/>
              <w:jc w:val="left"/>
              <w:rPr>
                <w:rFonts w:ascii="宋体" w:hAnsi="宋体" w:cs="宋体"/>
                <w:color w:val="000000" w:themeColor="text1"/>
                <w:kern w:val="0"/>
                <w:szCs w:val="21"/>
              </w:rPr>
            </w:pPr>
            <w:r>
              <w:rPr>
                <w:rFonts w:ascii="宋体" w:hAnsi="宋体" w:cs="宋体"/>
                <w:color w:val="000000" w:themeColor="text1"/>
                <w:kern w:val="0"/>
                <w:szCs w:val="21"/>
              </w:rPr>
              <w:t>2.供应商承诺在项目建设中，可根据系统实际使用情况，对该项目进行设计改造的得5分。（提供承诺函原件</w:t>
            </w:r>
            <w:r>
              <w:rPr>
                <w:rFonts w:ascii="宋体" w:hAnsi="宋体" w:cs="宋体" w:hint="eastAsia"/>
                <w:color w:val="000000" w:themeColor="text1"/>
                <w:kern w:val="0"/>
                <w:szCs w:val="21"/>
              </w:rPr>
              <w:t>，</w:t>
            </w:r>
            <w:r>
              <w:rPr>
                <w:rFonts w:ascii="宋体" w:hAnsi="宋体" w:cs="宋体"/>
                <w:color w:val="000000" w:themeColor="text1"/>
                <w:kern w:val="0"/>
                <w:szCs w:val="21"/>
              </w:rPr>
              <w:t>加盖投标人公章）</w:t>
            </w:r>
          </w:p>
        </w:tc>
        <w:tc>
          <w:tcPr>
            <w:tcW w:w="644" w:type="pct"/>
            <w:vAlign w:val="center"/>
          </w:tcPr>
          <w:p w14:paraId="6BD8C879" w14:textId="77777777" w:rsidR="00A12AEE" w:rsidRDefault="00000000">
            <w:pPr>
              <w:widowControl/>
              <w:jc w:val="left"/>
              <w:rPr>
                <w:rFonts w:ascii="宋体" w:hAnsi="宋体" w:cs="宋体"/>
                <w:kern w:val="0"/>
                <w:szCs w:val="21"/>
              </w:rPr>
            </w:pPr>
            <w:r>
              <w:rPr>
                <w:rFonts w:ascii="宋体" w:hAnsi="宋体" w:cs="宋体" w:hint="eastAsia"/>
                <w:kern w:val="0"/>
                <w:szCs w:val="21"/>
              </w:rPr>
              <w:t>共同评审因素</w:t>
            </w:r>
          </w:p>
        </w:tc>
      </w:tr>
    </w:tbl>
    <w:p w14:paraId="02F293C0" w14:textId="77777777" w:rsidR="00A12AEE" w:rsidRDefault="00A12AEE">
      <w:pPr>
        <w:rPr>
          <w:rFonts w:ascii="微软雅黑" w:eastAsia="微软雅黑" w:hAnsi="微软雅黑"/>
          <w:szCs w:val="21"/>
        </w:rPr>
      </w:pPr>
    </w:p>
    <w:sectPr w:rsidR="00A12A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9D1A39"/>
    <w:multiLevelType w:val="multilevel"/>
    <w:tmpl w:val="8F9D1A39"/>
    <w:lvl w:ilvl="0">
      <w:start w:val="1"/>
      <w:numFmt w:val="decimal"/>
      <w:lvlText w:val="%1."/>
      <w:lvlJc w:val="left"/>
      <w:pPr>
        <w:tabs>
          <w:tab w:val="num" w:pos="-108"/>
        </w:tabs>
        <w:ind w:left="-420"/>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40D2721A"/>
    <w:multiLevelType w:val="multilevel"/>
    <w:tmpl w:val="40D2721A"/>
    <w:lvl w:ilvl="0">
      <w:start w:val="1"/>
      <w:numFmt w:val="chineseCountingThousand"/>
      <w:lvlText w:val="%1、"/>
      <w:lvlJc w:val="left"/>
      <w:pPr>
        <w:ind w:left="7508" w:hanging="420"/>
      </w:pPr>
      <w:rPr>
        <w:rFonts w:hint="eastAsia"/>
        <w:b/>
        <w:i w:val="0"/>
        <w:iCs w:val="0"/>
        <w:caps w:val="0"/>
        <w:strike w:val="0"/>
        <w:dstrike w:val="0"/>
        <w:vanish w:val="0"/>
        <w:spacing w:val="0"/>
        <w:w w:val="100"/>
        <w:position w:val="0"/>
        <w:sz w:val="28"/>
        <w:u w:val="none"/>
        <w:vertAlign w:val="baseline"/>
      </w:rPr>
    </w:lvl>
    <w:lvl w:ilvl="1">
      <w:start w:val="1"/>
      <w:numFmt w:val="japaneseCounting"/>
      <w:lvlText w:val="（%2）"/>
      <w:lvlJc w:val="left"/>
      <w:pPr>
        <w:ind w:left="1926" w:hanging="1080"/>
      </w:pPr>
      <w:rPr>
        <w:rFonts w:hint="default"/>
      </w:r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 w15:restartNumberingAfterBreak="0">
    <w:nsid w:val="5BE82763"/>
    <w:multiLevelType w:val="multilevel"/>
    <w:tmpl w:val="5BE8276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2BB4E8B"/>
    <w:multiLevelType w:val="multilevel"/>
    <w:tmpl w:val="72BB4E8B"/>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579166508">
    <w:abstractNumId w:val="3"/>
  </w:num>
  <w:num w:numId="2" w16cid:durableId="1060521109">
    <w:abstractNumId w:val="2"/>
  </w:num>
  <w:num w:numId="3" w16cid:durableId="964695695">
    <w:abstractNumId w:val="1"/>
  </w:num>
  <w:num w:numId="4" w16cid:durableId="725683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6EF"/>
    <w:rsid w:val="00005ADB"/>
    <w:rsid w:val="00012193"/>
    <w:rsid w:val="00014017"/>
    <w:rsid w:val="00016AFE"/>
    <w:rsid w:val="00031A31"/>
    <w:rsid w:val="00031E33"/>
    <w:rsid w:val="00032E6F"/>
    <w:rsid w:val="000369CE"/>
    <w:rsid w:val="00037ABD"/>
    <w:rsid w:val="00040150"/>
    <w:rsid w:val="00046C59"/>
    <w:rsid w:val="00051344"/>
    <w:rsid w:val="00052EAD"/>
    <w:rsid w:val="00053CFC"/>
    <w:rsid w:val="00063780"/>
    <w:rsid w:val="0006724A"/>
    <w:rsid w:val="0006783E"/>
    <w:rsid w:val="0007464E"/>
    <w:rsid w:val="000770AB"/>
    <w:rsid w:val="00094FE8"/>
    <w:rsid w:val="000A363D"/>
    <w:rsid w:val="000A40F7"/>
    <w:rsid w:val="000B54E6"/>
    <w:rsid w:val="000C34F0"/>
    <w:rsid w:val="000C5001"/>
    <w:rsid w:val="000E4B76"/>
    <w:rsid w:val="000F2A4D"/>
    <w:rsid w:val="000F44ED"/>
    <w:rsid w:val="000F5224"/>
    <w:rsid w:val="000F62B4"/>
    <w:rsid w:val="00124A1E"/>
    <w:rsid w:val="00124A1F"/>
    <w:rsid w:val="001315B9"/>
    <w:rsid w:val="00143529"/>
    <w:rsid w:val="00147276"/>
    <w:rsid w:val="001551F6"/>
    <w:rsid w:val="00157DC1"/>
    <w:rsid w:val="00162DB2"/>
    <w:rsid w:val="00166A4D"/>
    <w:rsid w:val="001715B6"/>
    <w:rsid w:val="001758BE"/>
    <w:rsid w:val="00180D38"/>
    <w:rsid w:val="001817D6"/>
    <w:rsid w:val="001860DA"/>
    <w:rsid w:val="00187C83"/>
    <w:rsid w:val="00191D52"/>
    <w:rsid w:val="00194CE7"/>
    <w:rsid w:val="00195F5D"/>
    <w:rsid w:val="001A4667"/>
    <w:rsid w:val="001A5952"/>
    <w:rsid w:val="001B3F94"/>
    <w:rsid w:val="001C0C1B"/>
    <w:rsid w:val="001C5EEC"/>
    <w:rsid w:val="001D3C89"/>
    <w:rsid w:val="001D4BAF"/>
    <w:rsid w:val="001D5B45"/>
    <w:rsid w:val="001D6B8A"/>
    <w:rsid w:val="001F548A"/>
    <w:rsid w:val="001F772D"/>
    <w:rsid w:val="0020249B"/>
    <w:rsid w:val="002033A7"/>
    <w:rsid w:val="00206F83"/>
    <w:rsid w:val="00221C8C"/>
    <w:rsid w:val="00250FDE"/>
    <w:rsid w:val="0025684C"/>
    <w:rsid w:val="00256997"/>
    <w:rsid w:val="002643C9"/>
    <w:rsid w:val="00265884"/>
    <w:rsid w:val="00271E48"/>
    <w:rsid w:val="00283345"/>
    <w:rsid w:val="002865C4"/>
    <w:rsid w:val="002A6213"/>
    <w:rsid w:val="002B2792"/>
    <w:rsid w:val="002B6E51"/>
    <w:rsid w:val="002D472F"/>
    <w:rsid w:val="002E3456"/>
    <w:rsid w:val="00322DEB"/>
    <w:rsid w:val="003268A2"/>
    <w:rsid w:val="00347976"/>
    <w:rsid w:val="00350FD5"/>
    <w:rsid w:val="0035381A"/>
    <w:rsid w:val="003714C9"/>
    <w:rsid w:val="00375876"/>
    <w:rsid w:val="003824B0"/>
    <w:rsid w:val="0039080C"/>
    <w:rsid w:val="003B4C6C"/>
    <w:rsid w:val="003C2947"/>
    <w:rsid w:val="003C383A"/>
    <w:rsid w:val="003C39CF"/>
    <w:rsid w:val="003C700C"/>
    <w:rsid w:val="003D6FED"/>
    <w:rsid w:val="003D715D"/>
    <w:rsid w:val="003D7392"/>
    <w:rsid w:val="003D77E9"/>
    <w:rsid w:val="003F0593"/>
    <w:rsid w:val="003F7301"/>
    <w:rsid w:val="004038F0"/>
    <w:rsid w:val="00414B36"/>
    <w:rsid w:val="0041655B"/>
    <w:rsid w:val="00416706"/>
    <w:rsid w:val="004357D9"/>
    <w:rsid w:val="004361A4"/>
    <w:rsid w:val="004431EA"/>
    <w:rsid w:val="00452EC8"/>
    <w:rsid w:val="004721C5"/>
    <w:rsid w:val="00473E7A"/>
    <w:rsid w:val="00477334"/>
    <w:rsid w:val="0048756A"/>
    <w:rsid w:val="004936C1"/>
    <w:rsid w:val="004D15C5"/>
    <w:rsid w:val="004E0AB3"/>
    <w:rsid w:val="004E2DC0"/>
    <w:rsid w:val="004E60F3"/>
    <w:rsid w:val="004F7BFF"/>
    <w:rsid w:val="00502A25"/>
    <w:rsid w:val="00507A2D"/>
    <w:rsid w:val="005138F6"/>
    <w:rsid w:val="00514D1F"/>
    <w:rsid w:val="00520711"/>
    <w:rsid w:val="00534E77"/>
    <w:rsid w:val="0058178C"/>
    <w:rsid w:val="00584F77"/>
    <w:rsid w:val="005910ED"/>
    <w:rsid w:val="005B7263"/>
    <w:rsid w:val="005C227E"/>
    <w:rsid w:val="005D6BFE"/>
    <w:rsid w:val="00603D05"/>
    <w:rsid w:val="00614D76"/>
    <w:rsid w:val="00631237"/>
    <w:rsid w:val="00635E99"/>
    <w:rsid w:val="00672F9C"/>
    <w:rsid w:val="0067434B"/>
    <w:rsid w:val="006748EA"/>
    <w:rsid w:val="00680C20"/>
    <w:rsid w:val="006941B1"/>
    <w:rsid w:val="006A3355"/>
    <w:rsid w:val="006B0A5B"/>
    <w:rsid w:val="006B1D3D"/>
    <w:rsid w:val="006B528F"/>
    <w:rsid w:val="006B6EA5"/>
    <w:rsid w:val="006D3372"/>
    <w:rsid w:val="006D7DCD"/>
    <w:rsid w:val="006E6E0F"/>
    <w:rsid w:val="006F0467"/>
    <w:rsid w:val="006F43B4"/>
    <w:rsid w:val="006F63EB"/>
    <w:rsid w:val="006F7B49"/>
    <w:rsid w:val="00700FF9"/>
    <w:rsid w:val="00707845"/>
    <w:rsid w:val="00711E4B"/>
    <w:rsid w:val="0072232A"/>
    <w:rsid w:val="00732D5A"/>
    <w:rsid w:val="0073774E"/>
    <w:rsid w:val="0073787A"/>
    <w:rsid w:val="00743F78"/>
    <w:rsid w:val="00744468"/>
    <w:rsid w:val="00755367"/>
    <w:rsid w:val="007619DE"/>
    <w:rsid w:val="00763AD5"/>
    <w:rsid w:val="00763BDE"/>
    <w:rsid w:val="007740DF"/>
    <w:rsid w:val="00777573"/>
    <w:rsid w:val="007834BB"/>
    <w:rsid w:val="00787E7C"/>
    <w:rsid w:val="00791AE5"/>
    <w:rsid w:val="00793D29"/>
    <w:rsid w:val="007A03DB"/>
    <w:rsid w:val="007A1CFC"/>
    <w:rsid w:val="007C529E"/>
    <w:rsid w:val="007D37FD"/>
    <w:rsid w:val="007D7136"/>
    <w:rsid w:val="007D7243"/>
    <w:rsid w:val="007E63EA"/>
    <w:rsid w:val="007E7A38"/>
    <w:rsid w:val="007F011E"/>
    <w:rsid w:val="007F5C79"/>
    <w:rsid w:val="00803F5C"/>
    <w:rsid w:val="00805B30"/>
    <w:rsid w:val="00815A1B"/>
    <w:rsid w:val="00824754"/>
    <w:rsid w:val="0083792D"/>
    <w:rsid w:val="00861219"/>
    <w:rsid w:val="00870991"/>
    <w:rsid w:val="00872FDF"/>
    <w:rsid w:val="00890638"/>
    <w:rsid w:val="0089475F"/>
    <w:rsid w:val="00897528"/>
    <w:rsid w:val="008A0D5B"/>
    <w:rsid w:val="008B632F"/>
    <w:rsid w:val="008C2F16"/>
    <w:rsid w:val="008C498D"/>
    <w:rsid w:val="008D3372"/>
    <w:rsid w:val="008D5706"/>
    <w:rsid w:val="008E2378"/>
    <w:rsid w:val="008E6F25"/>
    <w:rsid w:val="008F362E"/>
    <w:rsid w:val="00911C6A"/>
    <w:rsid w:val="00916C02"/>
    <w:rsid w:val="00916EE0"/>
    <w:rsid w:val="00917D08"/>
    <w:rsid w:val="00935055"/>
    <w:rsid w:val="00935C0A"/>
    <w:rsid w:val="00937413"/>
    <w:rsid w:val="00944012"/>
    <w:rsid w:val="00947554"/>
    <w:rsid w:val="00953AF1"/>
    <w:rsid w:val="00961883"/>
    <w:rsid w:val="00972D6B"/>
    <w:rsid w:val="009823CD"/>
    <w:rsid w:val="00982643"/>
    <w:rsid w:val="009829B7"/>
    <w:rsid w:val="00982E3A"/>
    <w:rsid w:val="009876EF"/>
    <w:rsid w:val="00993DBF"/>
    <w:rsid w:val="009A1F24"/>
    <w:rsid w:val="009A323C"/>
    <w:rsid w:val="009A5131"/>
    <w:rsid w:val="009B16AC"/>
    <w:rsid w:val="009C44F8"/>
    <w:rsid w:val="009D38CC"/>
    <w:rsid w:val="009E2887"/>
    <w:rsid w:val="009E76FF"/>
    <w:rsid w:val="009F1AA5"/>
    <w:rsid w:val="009F1F9E"/>
    <w:rsid w:val="00A006E6"/>
    <w:rsid w:val="00A01314"/>
    <w:rsid w:val="00A12AEE"/>
    <w:rsid w:val="00A23574"/>
    <w:rsid w:val="00A33966"/>
    <w:rsid w:val="00A547C9"/>
    <w:rsid w:val="00A560BD"/>
    <w:rsid w:val="00A6384E"/>
    <w:rsid w:val="00A75743"/>
    <w:rsid w:val="00A81EFA"/>
    <w:rsid w:val="00A95790"/>
    <w:rsid w:val="00A95D1B"/>
    <w:rsid w:val="00AA2E64"/>
    <w:rsid w:val="00AB5088"/>
    <w:rsid w:val="00AC6EC6"/>
    <w:rsid w:val="00AD4773"/>
    <w:rsid w:val="00AE14A2"/>
    <w:rsid w:val="00B11DDD"/>
    <w:rsid w:val="00B149F1"/>
    <w:rsid w:val="00B14B47"/>
    <w:rsid w:val="00B30390"/>
    <w:rsid w:val="00B32C9A"/>
    <w:rsid w:val="00B35898"/>
    <w:rsid w:val="00B44181"/>
    <w:rsid w:val="00B46FB6"/>
    <w:rsid w:val="00B54C1B"/>
    <w:rsid w:val="00B65D93"/>
    <w:rsid w:val="00B72364"/>
    <w:rsid w:val="00B95A06"/>
    <w:rsid w:val="00B95BB1"/>
    <w:rsid w:val="00BA5C4E"/>
    <w:rsid w:val="00BB11E7"/>
    <w:rsid w:val="00BC3303"/>
    <w:rsid w:val="00BD58E5"/>
    <w:rsid w:val="00BD6CEB"/>
    <w:rsid w:val="00BE5236"/>
    <w:rsid w:val="00BF5D03"/>
    <w:rsid w:val="00BF7B07"/>
    <w:rsid w:val="00C02444"/>
    <w:rsid w:val="00C1226C"/>
    <w:rsid w:val="00C22659"/>
    <w:rsid w:val="00C2782D"/>
    <w:rsid w:val="00C604FF"/>
    <w:rsid w:val="00C7031A"/>
    <w:rsid w:val="00C83DE3"/>
    <w:rsid w:val="00C91624"/>
    <w:rsid w:val="00C921C3"/>
    <w:rsid w:val="00C94400"/>
    <w:rsid w:val="00CA2414"/>
    <w:rsid w:val="00CB34E9"/>
    <w:rsid w:val="00CB411C"/>
    <w:rsid w:val="00CC09F3"/>
    <w:rsid w:val="00CD1473"/>
    <w:rsid w:val="00CD2C14"/>
    <w:rsid w:val="00CE02E9"/>
    <w:rsid w:val="00CE0692"/>
    <w:rsid w:val="00CE16C6"/>
    <w:rsid w:val="00CE1D41"/>
    <w:rsid w:val="00CE3CBB"/>
    <w:rsid w:val="00CE5A4F"/>
    <w:rsid w:val="00CF3752"/>
    <w:rsid w:val="00D02F77"/>
    <w:rsid w:val="00D0467A"/>
    <w:rsid w:val="00D07CD6"/>
    <w:rsid w:val="00D1191D"/>
    <w:rsid w:val="00D16DFD"/>
    <w:rsid w:val="00D271D6"/>
    <w:rsid w:val="00D40602"/>
    <w:rsid w:val="00D41A26"/>
    <w:rsid w:val="00D42D9C"/>
    <w:rsid w:val="00D50C2F"/>
    <w:rsid w:val="00D60854"/>
    <w:rsid w:val="00D6292A"/>
    <w:rsid w:val="00D76E87"/>
    <w:rsid w:val="00DA48A2"/>
    <w:rsid w:val="00DB4B9D"/>
    <w:rsid w:val="00DD2D51"/>
    <w:rsid w:val="00DD2FE4"/>
    <w:rsid w:val="00DD4859"/>
    <w:rsid w:val="00DE53B6"/>
    <w:rsid w:val="00DF5E35"/>
    <w:rsid w:val="00E013CC"/>
    <w:rsid w:val="00E05D36"/>
    <w:rsid w:val="00E36E35"/>
    <w:rsid w:val="00E4494A"/>
    <w:rsid w:val="00E54CE8"/>
    <w:rsid w:val="00E56B21"/>
    <w:rsid w:val="00E6417A"/>
    <w:rsid w:val="00E6578D"/>
    <w:rsid w:val="00E65B20"/>
    <w:rsid w:val="00E7504C"/>
    <w:rsid w:val="00E86C16"/>
    <w:rsid w:val="00E87A7A"/>
    <w:rsid w:val="00EA50EE"/>
    <w:rsid w:val="00EA7891"/>
    <w:rsid w:val="00EB2DF0"/>
    <w:rsid w:val="00EB3AC3"/>
    <w:rsid w:val="00EB3DCD"/>
    <w:rsid w:val="00EC073E"/>
    <w:rsid w:val="00EC0847"/>
    <w:rsid w:val="00ED4BD1"/>
    <w:rsid w:val="00ED6652"/>
    <w:rsid w:val="00EE0F9E"/>
    <w:rsid w:val="00EE7137"/>
    <w:rsid w:val="00EF7FE7"/>
    <w:rsid w:val="00F03EE5"/>
    <w:rsid w:val="00F041B8"/>
    <w:rsid w:val="00F233E4"/>
    <w:rsid w:val="00F37B7E"/>
    <w:rsid w:val="00F60C03"/>
    <w:rsid w:val="00F6555A"/>
    <w:rsid w:val="00F8398C"/>
    <w:rsid w:val="00F87C6E"/>
    <w:rsid w:val="00F87EC5"/>
    <w:rsid w:val="00F9473C"/>
    <w:rsid w:val="00FA62DA"/>
    <w:rsid w:val="00FB2151"/>
    <w:rsid w:val="00FC6291"/>
    <w:rsid w:val="00FE6840"/>
    <w:rsid w:val="00FE7A12"/>
    <w:rsid w:val="00FF2C46"/>
    <w:rsid w:val="00FF7309"/>
    <w:rsid w:val="1AF21AE2"/>
    <w:rsid w:val="1FB945A6"/>
    <w:rsid w:val="25BD45A0"/>
    <w:rsid w:val="42333716"/>
    <w:rsid w:val="45E30CBA"/>
    <w:rsid w:val="4D340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E265B"/>
  <w15:docId w15:val="{0BFFBA22-B72B-476B-AF27-50FA49286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1"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240"/>
      <w:outlineLvl w:val="0"/>
    </w:pPr>
    <w:rPr>
      <w:rFonts w:eastAsiaTheme="majorEastAsia" w:cstheme="majorBidi"/>
      <w:color w:val="2F5496" w:themeColor="accent1" w:themeShade="BF"/>
      <w:sz w:val="32"/>
      <w:szCs w:val="32"/>
    </w:rPr>
  </w:style>
  <w:style w:type="paragraph" w:styleId="2">
    <w:name w:val="heading 2"/>
    <w:basedOn w:val="a"/>
    <w:next w:val="a"/>
    <w:link w:val="20"/>
    <w:uiPriority w:val="9"/>
    <w:unhideWhenUsed/>
    <w:qFormat/>
    <w:pPr>
      <w:keepNext/>
      <w:keepLines/>
      <w:spacing w:before="40"/>
      <w:outlineLvl w:val="1"/>
    </w:pPr>
    <w:rPr>
      <w:rFonts w:ascii="微软雅黑" w:eastAsia="微软雅黑" w:hAnsi="微软雅黑"/>
      <w:b/>
      <w:bCs/>
      <w:sz w:val="20"/>
      <w:szCs w:val="20"/>
    </w:rPr>
  </w:style>
  <w:style w:type="paragraph" w:styleId="3">
    <w:name w:val="heading 3"/>
    <w:basedOn w:val="a"/>
    <w:next w:val="a"/>
    <w:link w:val="30"/>
    <w:uiPriority w:val="1"/>
    <w:unhideWhenUsed/>
    <w:qFormat/>
    <w:pPr>
      <w:keepNext/>
      <w:keepLines/>
      <w:spacing w:before="40"/>
      <w:outlineLvl w:val="2"/>
    </w:pPr>
    <w:rPr>
      <w:rFonts w:ascii="微软雅黑" w:eastAsia="微软雅黑" w:hAnsi="微软雅黑" w:cstheme="majorBidi"/>
      <w:b/>
      <w:bCs/>
      <w:szCs w:val="21"/>
    </w:rPr>
  </w:style>
  <w:style w:type="paragraph" w:styleId="4">
    <w:name w:val="heading 4"/>
    <w:basedOn w:val="a"/>
    <w:next w:val="a"/>
    <w:link w:val="40"/>
    <w:uiPriority w:val="9"/>
    <w:unhideWhenUsed/>
    <w:qFormat/>
    <w:pPr>
      <w:keepNext/>
      <w:keepLines/>
      <w:spacing w:before="40"/>
      <w:outlineLvl w:val="3"/>
    </w:pPr>
    <w:rPr>
      <w:rFonts w:eastAsiaTheme="majorEastAsia"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next w:val="a"/>
    <w:link w:val="a6"/>
    <w:unhideWhenUsed/>
    <w:qFormat/>
    <w:pPr>
      <w:spacing w:after="120"/>
    </w:pPr>
  </w:style>
  <w:style w:type="paragraph" w:styleId="a7">
    <w:name w:val="Balloon Text"/>
    <w:basedOn w:val="a"/>
    <w:link w:val="a8"/>
    <w:uiPriority w:val="99"/>
    <w:semiHidden/>
    <w:unhideWhenUsed/>
    <w:qFormat/>
    <w:rPr>
      <w:rFonts w:ascii="Segoe UI" w:hAnsi="Segoe UI" w:cs="Segoe UI"/>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e">
    <w:name w:val="Title"/>
    <w:basedOn w:val="a"/>
    <w:next w:val="a"/>
    <w:link w:val="af"/>
    <w:uiPriority w:val="10"/>
    <w:qFormat/>
    <w:pPr>
      <w:spacing w:before="240" w:after="60"/>
      <w:jc w:val="center"/>
      <w:outlineLvl w:val="0"/>
    </w:pPr>
    <w:rPr>
      <w:rFonts w:eastAsiaTheme="majorEastAsia" w:cstheme="majorBidi"/>
      <w:b/>
      <w:bCs/>
      <w:kern w:val="28"/>
      <w:sz w:val="32"/>
      <w:szCs w:val="32"/>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qFormat/>
    <w:rPr>
      <w:sz w:val="21"/>
      <w:szCs w:val="21"/>
    </w:rPr>
  </w:style>
  <w:style w:type="character" w:customStyle="1" w:styleId="40">
    <w:name w:val="标题 4 字符"/>
    <w:basedOn w:val="a0"/>
    <w:link w:val="4"/>
    <w:uiPriority w:val="9"/>
    <w:qFormat/>
    <w:rPr>
      <w:rFonts w:ascii="微软雅黑" w:eastAsiaTheme="majorEastAsia" w:hAnsi="微软雅黑" w:cstheme="majorBidi"/>
      <w:i/>
      <w:iCs/>
      <w:color w:val="2F5496" w:themeColor="accent1" w:themeShade="BF"/>
    </w:rPr>
  </w:style>
  <w:style w:type="character" w:customStyle="1" w:styleId="30">
    <w:name w:val="标题 3 字符"/>
    <w:basedOn w:val="a0"/>
    <w:link w:val="3"/>
    <w:uiPriority w:val="1"/>
    <w:qFormat/>
    <w:rPr>
      <w:rFonts w:ascii="微软雅黑" w:eastAsia="微软雅黑" w:hAnsi="微软雅黑" w:cstheme="majorBidi"/>
      <w:b/>
      <w:bCs/>
      <w:kern w:val="2"/>
      <w:sz w:val="21"/>
      <w:szCs w:val="21"/>
    </w:rPr>
  </w:style>
  <w:style w:type="character" w:customStyle="1" w:styleId="10">
    <w:name w:val="标题 1 字符"/>
    <w:basedOn w:val="a0"/>
    <w:link w:val="1"/>
    <w:uiPriority w:val="9"/>
    <w:qFormat/>
    <w:rPr>
      <w:rFonts w:ascii="微软雅黑" w:eastAsiaTheme="majorEastAsia" w:hAnsi="微软雅黑" w:cstheme="majorBidi"/>
      <w:color w:val="2F5496" w:themeColor="accent1" w:themeShade="BF"/>
      <w:sz w:val="32"/>
      <w:szCs w:val="32"/>
    </w:rPr>
  </w:style>
  <w:style w:type="character" w:customStyle="1" w:styleId="af">
    <w:name w:val="标题 字符"/>
    <w:basedOn w:val="a0"/>
    <w:link w:val="ae"/>
    <w:uiPriority w:val="10"/>
    <w:qFormat/>
    <w:rPr>
      <w:rFonts w:ascii="微软雅黑" w:eastAsiaTheme="majorEastAsia" w:hAnsi="微软雅黑" w:cstheme="majorBidi"/>
      <w:b/>
      <w:bCs/>
      <w:kern w:val="28"/>
      <w:sz w:val="32"/>
      <w:szCs w:val="32"/>
    </w:rPr>
  </w:style>
  <w:style w:type="character" w:customStyle="1" w:styleId="20">
    <w:name w:val="标题 2 字符"/>
    <w:basedOn w:val="a0"/>
    <w:link w:val="2"/>
    <w:uiPriority w:val="9"/>
    <w:qFormat/>
    <w:rPr>
      <w:rFonts w:ascii="微软雅黑" w:eastAsia="微软雅黑" w:hAnsi="微软雅黑" w:cs="Times New Roman"/>
      <w:b/>
      <w:bCs/>
      <w:kern w:val="2"/>
      <w:sz w:val="20"/>
      <w:szCs w:val="20"/>
    </w:rPr>
  </w:style>
  <w:style w:type="character" w:customStyle="1" w:styleId="a8">
    <w:name w:val="批注框文本 字符"/>
    <w:basedOn w:val="a0"/>
    <w:link w:val="a7"/>
    <w:uiPriority w:val="99"/>
    <w:semiHidden/>
    <w:qFormat/>
    <w:rPr>
      <w:rFonts w:ascii="Segoe UI" w:eastAsia="宋体" w:hAnsi="Segoe UI" w:cs="Segoe UI"/>
      <w:kern w:val="2"/>
      <w:sz w:val="18"/>
      <w:szCs w:val="18"/>
    </w:rPr>
  </w:style>
  <w:style w:type="paragraph" w:customStyle="1" w:styleId="Style32">
    <w:name w:val="_Style 32"/>
    <w:basedOn w:val="a"/>
    <w:next w:val="af4"/>
    <w:uiPriority w:val="34"/>
    <w:unhideWhenUsed/>
    <w:qFormat/>
    <w:pPr>
      <w:ind w:firstLineChars="200" w:firstLine="420"/>
    </w:pPr>
    <w:rPr>
      <w:rFonts w:ascii="微软雅黑" w:eastAsia="微软雅黑" w:hAnsi="微软雅黑" w:hint="eastAsia"/>
    </w:rPr>
  </w:style>
  <w:style w:type="paragraph" w:styleId="af4">
    <w:name w:val="List Paragraph"/>
    <w:basedOn w:val="a"/>
    <w:uiPriority w:val="34"/>
    <w:qFormat/>
    <w:pPr>
      <w:ind w:left="720"/>
      <w:contextualSpacing/>
    </w:pPr>
  </w:style>
  <w:style w:type="character" w:customStyle="1" w:styleId="a4">
    <w:name w:val="批注文字 字符"/>
    <w:basedOn w:val="a0"/>
    <w:link w:val="a3"/>
    <w:uiPriority w:val="99"/>
    <w:semiHidden/>
    <w:qFormat/>
    <w:rPr>
      <w:rFonts w:ascii="Times New Roman" w:eastAsia="宋体" w:hAnsi="Times New Roman" w:cs="Times New Roman"/>
      <w:kern w:val="2"/>
      <w:sz w:val="21"/>
      <w:szCs w:val="24"/>
    </w:rPr>
  </w:style>
  <w:style w:type="character" w:customStyle="1" w:styleId="af1">
    <w:name w:val="批注主题 字符"/>
    <w:basedOn w:val="a4"/>
    <w:link w:val="af0"/>
    <w:uiPriority w:val="99"/>
    <w:semiHidden/>
    <w:qFormat/>
    <w:rPr>
      <w:rFonts w:ascii="Times New Roman" w:eastAsia="宋体" w:hAnsi="Times New Roman" w:cs="Times New Roman"/>
      <w:b/>
      <w:bCs/>
      <w:kern w:val="2"/>
      <w:sz w:val="21"/>
      <w:szCs w:val="24"/>
    </w:rPr>
  </w:style>
  <w:style w:type="character" w:customStyle="1" w:styleId="ac">
    <w:name w:val="页眉 字符"/>
    <w:basedOn w:val="a0"/>
    <w:link w:val="ab"/>
    <w:uiPriority w:val="99"/>
    <w:qFormat/>
    <w:rPr>
      <w:rFonts w:ascii="Times New Roman" w:eastAsia="宋体" w:hAnsi="Times New Roman" w:cs="Times New Roman"/>
      <w:kern w:val="2"/>
      <w:sz w:val="18"/>
      <w:szCs w:val="18"/>
    </w:rPr>
  </w:style>
  <w:style w:type="character" w:customStyle="1" w:styleId="aa">
    <w:name w:val="页脚 字符"/>
    <w:basedOn w:val="a0"/>
    <w:link w:val="a9"/>
    <w:uiPriority w:val="99"/>
    <w:qFormat/>
    <w:rPr>
      <w:rFonts w:ascii="Times New Roman" w:eastAsia="宋体" w:hAnsi="Times New Roman" w:cs="Times New Roman"/>
      <w:kern w:val="2"/>
      <w:sz w:val="18"/>
      <w:szCs w:val="18"/>
    </w:rPr>
  </w:style>
  <w:style w:type="character" w:customStyle="1" w:styleId="a6">
    <w:name w:val="正文文本 字符"/>
    <w:basedOn w:val="a0"/>
    <w:link w:val="a5"/>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B5AD94D-1ED1-4AE4-B07A-AE57A8AF050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5</Pages>
  <Words>529</Words>
  <Characters>3020</Characters>
  <Application>Microsoft Office Word</Application>
  <DocSecurity>0</DocSecurity>
  <Lines>25</Lines>
  <Paragraphs>7</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 英汉</dc:creator>
  <cp:lastModifiedBy>子 欢</cp:lastModifiedBy>
  <cp:revision>8</cp:revision>
  <dcterms:created xsi:type="dcterms:W3CDTF">2023-12-26T03:47:00Z</dcterms:created>
  <dcterms:modified xsi:type="dcterms:W3CDTF">2024-04-25T09:47:00Z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