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hint="eastAsia" w:ascii="宋体" w:hAnsi="宋体" w:eastAsia="宋体" w:cs="宋体"/>
        </w:rPr>
      </w:pPr>
      <w:r>
        <w:rPr>
          <w:rFonts w:hint="eastAsia" w:ascii="宋体" w:hAnsi="宋体" w:eastAsia="宋体" w:cs="宋体"/>
        </w:rPr>
        <w:t>备注：超过最高限价的报价，视为无效投标</w:t>
      </w:r>
    </w:p>
    <w:p>
      <w:pPr>
        <w:pStyle w:val="2"/>
      </w:pPr>
      <w:bookmarkStart w:id="1" w:name="_GoBack"/>
      <w:bookmarkEnd w:id="1"/>
    </w:p>
    <w:tbl>
      <w:tblPr>
        <w:tblStyle w:val="10"/>
        <w:tblW w:w="3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54"/>
        <w:gridCol w:w="1072"/>
        <w:gridCol w:w="118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5" w:type="pct"/>
            <w:vAlign w:val="center"/>
          </w:tcPr>
          <w:p>
            <w:pPr>
              <w:spacing w:line="360" w:lineRule="exact"/>
              <w:jc w:val="center"/>
              <w:rPr>
                <w:rFonts w:ascii="宋体" w:hAnsi="宋体"/>
                <w:bCs/>
              </w:rPr>
            </w:pPr>
            <w:r>
              <w:rPr>
                <w:rFonts w:hint="eastAsia" w:ascii="宋体" w:hAnsi="宋体"/>
                <w:bCs/>
              </w:rPr>
              <w:t>序号</w:t>
            </w:r>
          </w:p>
        </w:tc>
        <w:tc>
          <w:tcPr>
            <w:tcW w:w="1727" w:type="pct"/>
            <w:vAlign w:val="center"/>
          </w:tcPr>
          <w:p>
            <w:pPr>
              <w:spacing w:line="360" w:lineRule="exact"/>
              <w:jc w:val="center"/>
              <w:rPr>
                <w:rFonts w:ascii="宋体" w:hAnsi="宋体"/>
                <w:bCs/>
              </w:rPr>
            </w:pPr>
            <w:r>
              <w:rPr>
                <w:rFonts w:hint="eastAsia" w:ascii="宋体" w:hAnsi="宋体" w:cs="宋体"/>
                <w:bCs/>
              </w:rPr>
              <w:t>产品名称</w:t>
            </w:r>
          </w:p>
        </w:tc>
        <w:tc>
          <w:tcPr>
            <w:tcW w:w="821" w:type="pct"/>
            <w:vAlign w:val="center"/>
          </w:tcPr>
          <w:p>
            <w:pPr>
              <w:spacing w:line="360" w:lineRule="exact"/>
              <w:jc w:val="center"/>
              <w:rPr>
                <w:rFonts w:ascii="宋体" w:hAnsi="宋体"/>
                <w:bCs/>
              </w:rPr>
            </w:pPr>
            <w:r>
              <w:rPr>
                <w:rFonts w:hint="eastAsia" w:ascii="宋体" w:hAnsi="宋体" w:cs="宋体"/>
                <w:bCs/>
              </w:rPr>
              <w:t>数量</w:t>
            </w:r>
          </w:p>
        </w:tc>
        <w:tc>
          <w:tcPr>
            <w:tcW w:w="905" w:type="pct"/>
            <w:vAlign w:val="center"/>
          </w:tcPr>
          <w:p>
            <w:pPr>
              <w:spacing w:line="360" w:lineRule="exact"/>
              <w:jc w:val="center"/>
              <w:rPr>
                <w:rFonts w:ascii="宋体" w:hAnsi="宋体"/>
                <w:bCs/>
              </w:rPr>
            </w:pPr>
            <w:r>
              <w:rPr>
                <w:rFonts w:hint="eastAsia" w:ascii="宋体" w:hAnsi="宋体"/>
                <w:bCs/>
              </w:rPr>
              <w:t>产地</w:t>
            </w:r>
          </w:p>
        </w:tc>
        <w:tc>
          <w:tcPr>
            <w:tcW w:w="1010"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35" w:type="pct"/>
            <w:vAlign w:val="center"/>
          </w:tcPr>
          <w:p>
            <w:pPr>
              <w:spacing w:line="420" w:lineRule="exact"/>
              <w:jc w:val="center"/>
              <w:rPr>
                <w:rFonts w:ascii="宋体" w:hAnsi="宋体" w:eastAsia="宋体"/>
              </w:rPr>
            </w:pPr>
            <w:r>
              <w:rPr>
                <w:rFonts w:hint="eastAsia" w:ascii="宋体" w:hAnsi="宋体"/>
              </w:rPr>
              <w:t>1</w:t>
            </w:r>
          </w:p>
        </w:tc>
        <w:tc>
          <w:tcPr>
            <w:tcW w:w="2254" w:type="dxa"/>
            <w:vAlign w:val="center"/>
          </w:tcPr>
          <w:p>
            <w:pPr>
              <w:spacing w:line="420" w:lineRule="exact"/>
              <w:jc w:val="center"/>
              <w:rPr>
                <w:rFonts w:ascii="宋体" w:hAnsi="Times New Roman" w:eastAsia="宋体" w:cs="Times New Roman"/>
              </w:rPr>
            </w:pPr>
            <w:r>
              <w:rPr>
                <w:rFonts w:hint="eastAsia" w:ascii="宋体"/>
              </w:rPr>
              <w:t>超声浅表探头</w:t>
            </w:r>
          </w:p>
        </w:tc>
        <w:tc>
          <w:tcPr>
            <w:tcW w:w="1072" w:type="dxa"/>
            <w:vAlign w:val="center"/>
          </w:tcPr>
          <w:p>
            <w:pPr>
              <w:spacing w:line="420" w:lineRule="exact"/>
              <w:jc w:val="center"/>
              <w:rPr>
                <w:rFonts w:ascii="宋体" w:hAnsi="Times New Roman" w:eastAsia="宋体" w:cs="Times New Roman"/>
              </w:rPr>
            </w:pPr>
            <w:r>
              <w:rPr>
                <w:rFonts w:hint="eastAsia" w:ascii="宋体"/>
                <w:lang w:val="en-US" w:eastAsia="zh-CN"/>
              </w:rPr>
              <w:t>1把</w:t>
            </w:r>
          </w:p>
        </w:tc>
        <w:tc>
          <w:tcPr>
            <w:tcW w:w="1181" w:type="dxa"/>
            <w:vAlign w:val="center"/>
          </w:tcPr>
          <w:p>
            <w:pPr>
              <w:spacing w:line="420" w:lineRule="exact"/>
              <w:jc w:val="center"/>
              <w:rPr>
                <w:rFonts w:ascii="宋体" w:hAnsi="Times New Roman" w:eastAsia="宋体" w:cs="Times New Roman"/>
              </w:rPr>
            </w:pPr>
            <w:r>
              <w:rPr>
                <w:rFonts w:hint="eastAsia" w:ascii="宋体"/>
              </w:rPr>
              <w:t>国产</w:t>
            </w:r>
          </w:p>
        </w:tc>
        <w:tc>
          <w:tcPr>
            <w:tcW w:w="1010" w:type="pct"/>
            <w:vMerge w:val="restar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35" w:type="pct"/>
            <w:vAlign w:val="center"/>
          </w:tcPr>
          <w:p>
            <w:pPr>
              <w:spacing w:line="420" w:lineRule="exact"/>
              <w:jc w:val="center"/>
              <w:rPr>
                <w:rFonts w:ascii="宋体" w:hAnsi="宋体"/>
              </w:rPr>
            </w:pPr>
            <w:r>
              <w:rPr>
                <w:rFonts w:hint="eastAsia" w:ascii="宋体" w:hAnsi="宋体"/>
              </w:rPr>
              <w:t>2</w:t>
            </w:r>
          </w:p>
        </w:tc>
        <w:tc>
          <w:tcPr>
            <w:tcW w:w="2254" w:type="dxa"/>
            <w:vAlign w:val="center"/>
          </w:tcPr>
          <w:p>
            <w:pPr>
              <w:spacing w:line="420" w:lineRule="exact"/>
              <w:jc w:val="center"/>
              <w:rPr>
                <w:rFonts w:ascii="宋体" w:hAnsi="Times New Roman" w:eastAsia="宋体" w:cs="Times New Roman"/>
              </w:rPr>
            </w:pPr>
            <w:r>
              <w:rPr>
                <w:rFonts w:hint="eastAsia" w:ascii="宋体"/>
              </w:rPr>
              <w:t>超声腹部探头</w:t>
            </w:r>
          </w:p>
        </w:tc>
        <w:tc>
          <w:tcPr>
            <w:tcW w:w="1072" w:type="dxa"/>
            <w:vAlign w:val="center"/>
          </w:tcPr>
          <w:p>
            <w:pPr>
              <w:spacing w:line="420" w:lineRule="exact"/>
              <w:jc w:val="center"/>
              <w:rPr>
                <w:rFonts w:ascii="宋体" w:hAnsi="Times New Roman" w:eastAsia="宋体" w:cs="Times New Roman"/>
              </w:rPr>
            </w:pPr>
            <w:r>
              <w:rPr>
                <w:rFonts w:hint="eastAsia" w:ascii="宋体"/>
                <w:lang w:val="en-US" w:eastAsia="zh-CN"/>
              </w:rPr>
              <w:t>1把</w:t>
            </w:r>
          </w:p>
        </w:tc>
        <w:tc>
          <w:tcPr>
            <w:tcW w:w="1181" w:type="dxa"/>
            <w:vAlign w:val="center"/>
          </w:tcPr>
          <w:p>
            <w:pPr>
              <w:spacing w:line="420" w:lineRule="exact"/>
              <w:jc w:val="center"/>
              <w:rPr>
                <w:rFonts w:ascii="宋体" w:hAnsi="Times New Roman" w:eastAsia="宋体" w:cs="Times New Roman"/>
              </w:rPr>
            </w:pPr>
            <w:r>
              <w:rPr>
                <w:rFonts w:hint="eastAsia" w:ascii="宋体"/>
              </w:rPr>
              <w:t>国产</w:t>
            </w:r>
          </w:p>
        </w:tc>
        <w:tc>
          <w:tcPr>
            <w:tcW w:w="1010" w:type="pct"/>
            <w:vMerge w:val="continue"/>
            <w:vAlign w:val="center"/>
          </w:tcPr>
          <w:p>
            <w:pPr>
              <w:spacing w:line="420" w:lineRule="exact"/>
              <w:jc w:val="center"/>
              <w:rPr>
                <w:rFonts w:ascii="宋体" w:hAnsi="Times New Roman" w:eastAsia="宋体" w:cs="Times New Roman"/>
              </w:rPr>
            </w:pP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rPr>
          <w:rFonts w:hint="eastAsia"/>
          <w:lang w:eastAsia="zh-CN"/>
        </w:rPr>
      </w:pPr>
      <w:r>
        <w:rPr>
          <w:rFonts w:hint="eastAsia"/>
          <w:lang w:val="en-US" w:eastAsia="zh-CN"/>
        </w:rPr>
        <w:t>一、</w:t>
      </w:r>
      <w:r>
        <w:rPr>
          <w:rFonts w:hint="eastAsia"/>
        </w:rPr>
        <w:t>超声浅表探头</w:t>
      </w:r>
      <w:r>
        <w:rPr>
          <w:rFonts w:hint="eastAsia"/>
          <w:lang w:eastAsia="zh-CN"/>
        </w:rPr>
        <w:t>：</w:t>
      </w:r>
    </w:p>
    <w:p>
      <w:pPr>
        <w:rPr>
          <w:rFonts w:hint="eastAsia"/>
          <w:lang w:eastAsia="zh-CN"/>
        </w:rPr>
      </w:pPr>
      <w:r>
        <w:rPr>
          <w:rFonts w:hint="eastAsia"/>
          <w:lang w:val="en-US" w:eastAsia="zh-CN"/>
        </w:rPr>
        <w:t>1.</w:t>
      </w:r>
      <w:r>
        <w:rPr>
          <w:rFonts w:hint="eastAsia"/>
        </w:rPr>
        <w:t>探头类型：线阵</w:t>
      </w:r>
      <w:r>
        <w:rPr>
          <w:rFonts w:hint="eastAsia"/>
          <w:lang w:eastAsia="zh-CN"/>
        </w:rPr>
        <w:t>。</w:t>
      </w:r>
    </w:p>
    <w:p>
      <w:pPr>
        <w:rPr>
          <w:rFonts w:hint="eastAsia"/>
          <w:lang w:eastAsia="zh-CN"/>
        </w:rPr>
      </w:pPr>
      <w:r>
        <w:rPr>
          <w:rFonts w:hint="eastAsia"/>
          <w:lang w:val="en-US" w:eastAsia="zh-CN"/>
        </w:rPr>
        <w:t>2.</w:t>
      </w:r>
      <w:r>
        <w:rPr>
          <w:rFonts w:hint="eastAsia"/>
        </w:rPr>
        <w:t>应用领域: 小器官、外周血管</w:t>
      </w:r>
      <w:r>
        <w:rPr>
          <w:rFonts w:hint="eastAsia"/>
          <w:lang w:eastAsia="zh-CN"/>
        </w:rPr>
        <w:t>。</w:t>
      </w:r>
    </w:p>
    <w:p>
      <w:pPr>
        <w:rPr>
          <w:rFonts w:hint="eastAsia"/>
          <w:lang w:eastAsia="zh-CN"/>
        </w:rPr>
      </w:pPr>
      <w:r>
        <w:rPr>
          <w:rFonts w:hint="eastAsia"/>
          <w:lang w:val="en-US" w:eastAsia="zh-CN"/>
        </w:rPr>
        <w:t>3.</w:t>
      </w:r>
      <w:r>
        <w:rPr>
          <w:rFonts w:hint="eastAsia"/>
        </w:rPr>
        <w:t>带宽: 3.0-13.0 MHz</w:t>
      </w:r>
      <w:r>
        <w:rPr>
          <w:rFonts w:hint="eastAsia"/>
          <w:lang w:eastAsia="zh-CN"/>
        </w:rPr>
        <w:t>。</w:t>
      </w:r>
    </w:p>
    <w:p>
      <w:pPr>
        <w:rPr>
          <w:rFonts w:hint="eastAsia"/>
          <w:lang w:eastAsia="zh-CN"/>
        </w:rPr>
      </w:pPr>
      <w:r>
        <w:rPr>
          <w:rFonts w:hint="eastAsia"/>
          <w:lang w:val="en-US" w:eastAsia="zh-CN"/>
        </w:rPr>
        <w:t>4.</w:t>
      </w:r>
      <w:r>
        <w:rPr>
          <w:rFonts w:hint="eastAsia"/>
        </w:rPr>
        <w:t>阵元数: 192</w:t>
      </w:r>
      <w:r>
        <w:rPr>
          <w:rFonts w:hint="eastAsia"/>
          <w:lang w:eastAsia="zh-CN"/>
        </w:rPr>
        <w:t>。</w:t>
      </w:r>
    </w:p>
    <w:p>
      <w:pPr>
        <w:rPr>
          <w:rFonts w:hint="eastAsia"/>
          <w:lang w:eastAsia="zh-CN"/>
        </w:rPr>
      </w:pPr>
      <w:r>
        <w:rPr>
          <w:rFonts w:hint="eastAsia"/>
          <w:lang w:val="en-US" w:eastAsia="zh-CN"/>
        </w:rPr>
        <w:t>5.</w:t>
      </w:r>
      <w:r>
        <w:rPr>
          <w:rFonts w:hint="eastAsia"/>
        </w:rPr>
        <w:t>扫描范围（最大）: 38.1 mm</w:t>
      </w:r>
      <w:r>
        <w:rPr>
          <w:rFonts w:hint="eastAsia"/>
          <w:lang w:eastAsia="zh-CN"/>
        </w:rPr>
        <w:t>。</w:t>
      </w:r>
    </w:p>
    <w:p>
      <w:pPr>
        <w:rPr>
          <w:rFonts w:hint="eastAsia"/>
          <w:lang w:eastAsia="zh-CN"/>
        </w:rPr>
      </w:pPr>
      <w:r>
        <w:rPr>
          <w:rFonts w:hint="eastAsia"/>
          <w:lang w:val="en-US" w:eastAsia="zh-CN"/>
        </w:rPr>
        <w:t>6.</w:t>
      </w:r>
      <w:r>
        <w:rPr>
          <w:rFonts w:hint="eastAsia"/>
        </w:rPr>
        <w:t>偏转角度: B: +/-6°, +/-12°;C: +/-10°, +/-20°, +/-30°;PW: +/-10°, +/-20°, +/-30°</w:t>
      </w:r>
      <w:r>
        <w:rPr>
          <w:rFonts w:hint="eastAsia"/>
          <w:lang w:eastAsia="zh-CN"/>
        </w:rPr>
        <w:t>。</w:t>
      </w:r>
    </w:p>
    <w:p>
      <w:pPr>
        <w:rPr>
          <w:rFonts w:hint="eastAsia"/>
          <w:lang w:eastAsia="zh-CN"/>
        </w:rPr>
      </w:pPr>
      <w:r>
        <w:rPr>
          <w:rFonts w:hint="eastAsia"/>
          <w:lang w:val="en-US" w:eastAsia="zh-CN"/>
        </w:rPr>
        <w:t>7.支持</w:t>
      </w:r>
      <w:r>
        <w:rPr>
          <w:rFonts w:hint="eastAsia"/>
        </w:rPr>
        <w:t>深度: 1.5-28.0 cm</w:t>
      </w:r>
      <w:r>
        <w:rPr>
          <w:rFonts w:hint="eastAsia"/>
          <w:lang w:eastAsia="zh-CN"/>
        </w:rPr>
        <w:t>。</w:t>
      </w:r>
    </w:p>
    <w:p>
      <w:pPr>
        <w:rPr>
          <w:rFonts w:hint="eastAsia"/>
          <w:lang w:eastAsia="zh-CN"/>
        </w:rPr>
      </w:pPr>
      <w:r>
        <w:rPr>
          <w:rFonts w:hint="eastAsia"/>
          <w:lang w:val="en-US" w:eastAsia="zh-CN"/>
        </w:rPr>
        <w:t>8.支持</w:t>
      </w:r>
      <w:r>
        <w:rPr>
          <w:rFonts w:hint="eastAsia"/>
        </w:rPr>
        <w:t>穿刺架: NGB-007, 多角度, 可消毒</w:t>
      </w:r>
      <w:r>
        <w:rPr>
          <w:rFonts w:hint="eastAsia"/>
          <w:lang w:eastAsia="zh-CN"/>
        </w:rPr>
        <w:t>。</w:t>
      </w:r>
    </w:p>
    <w:p>
      <w:pPr>
        <w:rPr>
          <w:rFonts w:hint="eastAsia"/>
          <w:lang w:val="en-US" w:eastAsia="zh-CN"/>
        </w:rPr>
      </w:pPr>
      <w:r>
        <w:rPr>
          <w:rFonts w:hint="eastAsia"/>
          <w:lang w:val="en-US" w:eastAsia="zh-CN"/>
        </w:rPr>
        <w:t>9.支持造影成像技术。</w:t>
      </w:r>
    </w:p>
    <w:p>
      <w:pPr>
        <w:pStyle w:val="2"/>
        <w:rPr>
          <w:rFonts w:hint="eastAsia"/>
          <w:lang w:eastAsia="zh-CN"/>
        </w:rPr>
      </w:pPr>
      <w:r>
        <w:rPr>
          <w:rFonts w:hint="eastAsia"/>
          <w:lang w:val="en-US" w:eastAsia="zh-CN"/>
        </w:rPr>
        <w:t>10.</w:t>
      </w:r>
      <w:r>
        <w:rPr>
          <w:rFonts w:hint="eastAsia" w:ascii="宋体" w:hAnsi="宋体" w:eastAsia="宋体" w:cs="宋体"/>
          <w:color w:val="000000"/>
          <w:kern w:val="0"/>
          <w:lang w:val="en-US" w:eastAsia="zh-CN"/>
        </w:rPr>
        <w:t>★</w:t>
      </w:r>
      <w:r>
        <w:rPr>
          <w:rFonts w:hint="eastAsia"/>
          <w:lang w:val="en-US" w:eastAsia="zh-CN"/>
        </w:rPr>
        <w:t>适配医院现有彩超使用（品牌型号：迈瑞、M9）。.</w:t>
      </w:r>
    </w:p>
    <w:p>
      <w:pPr>
        <w:widowControl/>
        <w:overflowPunct w:val="0"/>
        <w:autoSpaceDE w:val="0"/>
        <w:autoSpaceDN w:val="0"/>
        <w:adjustRightInd w:val="0"/>
        <w:spacing w:line="400" w:lineRule="exact"/>
        <w:ind w:left="630" w:right="-181" w:hanging="630" w:hangingChars="300"/>
        <w:jc w:val="left"/>
        <w:textAlignment w:val="baseline"/>
        <w:rPr>
          <w:rFonts w:hint="eastAsia"/>
        </w:rPr>
      </w:pPr>
      <w:r>
        <w:rPr>
          <w:rFonts w:hint="eastAsia"/>
          <w:lang w:val="en-US" w:eastAsia="zh-CN"/>
        </w:rPr>
        <w:t>二、</w:t>
      </w:r>
      <w:r>
        <w:rPr>
          <w:rFonts w:hint="eastAsia"/>
        </w:rPr>
        <w:t>超声腹部探头</w:t>
      </w:r>
    </w:p>
    <w:p>
      <w:pPr>
        <w:rPr>
          <w:rFonts w:hint="default"/>
          <w:lang w:val="en-US" w:eastAsia="zh-CN"/>
        </w:rPr>
      </w:pPr>
      <w:r>
        <w:rPr>
          <w:rFonts w:hint="eastAsia"/>
        </w:rPr>
        <w:t>1.</w:t>
      </w:r>
      <w:r>
        <w:rPr>
          <w:rFonts w:hint="eastAsia"/>
          <w:lang w:val="en-US" w:eastAsia="zh-CN"/>
        </w:rPr>
        <w:t>腹部凸阵探头</w:t>
      </w:r>
      <w:r>
        <w:rPr>
          <w:rFonts w:hint="eastAsia"/>
        </w:rPr>
        <w:t>探头：应用领域</w:t>
      </w:r>
      <w:r>
        <w:rPr>
          <w:rFonts w:hint="eastAsia"/>
          <w:lang w:val="en-US" w:eastAsia="zh-CN"/>
        </w:rPr>
        <w:t>为腹部，妇产等。</w:t>
      </w:r>
    </w:p>
    <w:p>
      <w:pPr>
        <w:rPr>
          <w:rFonts w:hint="eastAsia"/>
          <w:lang w:eastAsia="zh-CN"/>
        </w:rPr>
      </w:pPr>
      <w:r>
        <w:rPr>
          <w:rFonts w:hint="eastAsia"/>
          <w:lang w:val="en-US" w:eastAsia="zh-CN"/>
        </w:rPr>
        <w:t>2.</w:t>
      </w:r>
      <w:r>
        <w:rPr>
          <w:rFonts w:hint="eastAsia"/>
        </w:rPr>
        <w:t>频率:宽频带变频探头,</w:t>
      </w:r>
      <w:r>
        <w:rPr>
          <w:rFonts w:hint="eastAsia"/>
          <w:lang w:val="en-US" w:eastAsia="zh-CN"/>
        </w:rPr>
        <w:t>二</w:t>
      </w:r>
      <w:r>
        <w:rPr>
          <w:rFonts w:hint="eastAsia"/>
        </w:rPr>
        <w:t>维和彩色独立变频</w:t>
      </w:r>
      <w:r>
        <w:rPr>
          <w:rFonts w:hint="eastAsia"/>
          <w:lang w:eastAsia="zh-CN"/>
        </w:rPr>
        <w:t>。</w:t>
      </w:r>
    </w:p>
    <w:p>
      <w:pPr>
        <w:rPr>
          <w:rFonts w:hint="eastAsia"/>
        </w:rPr>
      </w:pPr>
      <w:r>
        <w:rPr>
          <w:rFonts w:hint="eastAsia"/>
          <w:lang w:val="en-US" w:eastAsia="zh-CN"/>
        </w:rPr>
        <w:t>3.</w:t>
      </w:r>
      <w:r>
        <w:rPr>
          <w:rFonts w:hint="eastAsia"/>
        </w:rPr>
        <w:t>凸阵探头具有≥7种频率的变频范围，常规扫描角度≥61度，扫描角度最大扩展后≥100度</w:t>
      </w:r>
      <w:r>
        <w:rPr>
          <w:rFonts w:hint="eastAsia"/>
          <w:lang w:eastAsia="zh-CN"/>
        </w:rPr>
        <w:t>，</w:t>
      </w:r>
      <w:r>
        <w:rPr>
          <w:rFonts w:hint="eastAsia"/>
        </w:rPr>
        <w:t xml:space="preserve">带宽: 1.3-5.7 </w:t>
      </w:r>
    </w:p>
    <w:p>
      <w:pPr>
        <w:rPr>
          <w:rFonts w:hint="eastAsia"/>
          <w:lang w:eastAsia="zh-CN"/>
        </w:rPr>
      </w:pPr>
      <w:r>
        <w:rPr>
          <w:rFonts w:hint="eastAsia"/>
        </w:rPr>
        <w:t>MHz</w:t>
      </w:r>
      <w:r>
        <w:rPr>
          <w:rFonts w:hint="eastAsia"/>
          <w:lang w:eastAsia="zh-CN"/>
        </w:rPr>
        <w:t>。</w:t>
      </w:r>
    </w:p>
    <w:p>
      <w:pPr>
        <w:rPr>
          <w:rFonts w:hint="default"/>
          <w:lang w:val="en-US"/>
        </w:rPr>
      </w:pPr>
      <w:r>
        <w:rPr>
          <w:rFonts w:hint="eastAsia"/>
          <w:lang w:val="en-US" w:eastAsia="zh-CN"/>
        </w:rPr>
        <w:t>4.阵元数128。</w:t>
      </w:r>
    </w:p>
    <w:p>
      <w:pPr>
        <w:rPr>
          <w:rFonts w:hint="eastAsia"/>
          <w:lang w:eastAsia="zh-CN"/>
        </w:rPr>
      </w:pPr>
      <w:r>
        <w:rPr>
          <w:rFonts w:hint="eastAsia"/>
          <w:lang w:val="en-US" w:eastAsia="zh-CN"/>
        </w:rPr>
        <w:t>5.最大显示</w:t>
      </w:r>
      <w:r>
        <w:rPr>
          <w:rFonts w:hint="eastAsia"/>
        </w:rPr>
        <w:t>深度:3</w:t>
      </w:r>
      <w:r>
        <w:rPr>
          <w:rFonts w:hint="eastAsia"/>
          <w:lang w:val="en-US" w:eastAsia="zh-CN"/>
        </w:rPr>
        <w:t>9</w:t>
      </w:r>
      <w:r>
        <w:rPr>
          <w:rFonts w:hint="eastAsia"/>
        </w:rPr>
        <w:t xml:space="preserve">cm </w:t>
      </w:r>
      <w:r>
        <w:rPr>
          <w:rFonts w:hint="eastAsia"/>
          <w:lang w:eastAsia="zh-CN"/>
        </w:rPr>
        <w:t>。</w:t>
      </w:r>
    </w:p>
    <w:p>
      <w:pPr>
        <w:rPr>
          <w:rFonts w:hint="eastAsia"/>
          <w:lang w:val="en-US" w:eastAsia="zh-CN"/>
        </w:rPr>
      </w:pPr>
      <w:r>
        <w:rPr>
          <w:rFonts w:hint="eastAsia"/>
          <w:lang w:val="en-US" w:eastAsia="zh-CN"/>
        </w:rPr>
        <w:t>6.支持应变式弹性成像。</w:t>
      </w:r>
    </w:p>
    <w:p>
      <w:pPr>
        <w:rPr>
          <w:rFonts w:hint="eastAsia"/>
          <w:lang w:eastAsia="zh-CN"/>
        </w:rPr>
      </w:pPr>
      <w:r>
        <w:rPr>
          <w:rFonts w:hint="eastAsia"/>
          <w:lang w:val="en-US" w:eastAsia="zh-CN"/>
        </w:rPr>
        <w:t>7.支持扩展成像</w:t>
      </w:r>
      <w:r>
        <w:rPr>
          <w:rFonts w:hint="eastAsia"/>
        </w:rPr>
        <w:t xml:space="preserve"> </w:t>
      </w:r>
      <w:r>
        <w:rPr>
          <w:rFonts w:hint="eastAsia"/>
          <w:lang w:eastAsia="zh-CN"/>
        </w:rPr>
        <w:t>。</w:t>
      </w:r>
    </w:p>
    <w:p>
      <w:pPr>
        <w:rPr>
          <w:rFonts w:hint="eastAsia"/>
          <w:lang w:eastAsia="zh-CN"/>
        </w:rPr>
      </w:pPr>
      <w:r>
        <w:rPr>
          <w:rFonts w:hint="eastAsia"/>
          <w:lang w:val="en-US" w:eastAsia="zh-CN"/>
        </w:rPr>
        <w:t>8.</w:t>
      </w:r>
      <w:r>
        <w:rPr>
          <w:rFonts w:hint="eastAsia"/>
        </w:rPr>
        <w:t>支持造影成像软件及造影定量分析</w:t>
      </w:r>
      <w:r>
        <w:rPr>
          <w:rFonts w:hint="eastAsia"/>
          <w:lang w:eastAsia="zh-CN"/>
        </w:rPr>
        <w:t>。</w:t>
      </w:r>
    </w:p>
    <w:p>
      <w:pPr>
        <w:rPr>
          <w:rFonts w:hint="eastAsia"/>
          <w:lang w:eastAsia="zh-CN"/>
        </w:rPr>
      </w:pPr>
      <w:r>
        <w:rPr>
          <w:rFonts w:hint="eastAsia"/>
          <w:lang w:val="en-US" w:eastAsia="zh-CN"/>
        </w:rPr>
        <w:t>9.支持</w:t>
      </w:r>
      <w:r>
        <w:rPr>
          <w:rFonts w:hint="eastAsia"/>
        </w:rPr>
        <w:t xml:space="preserve">穿刺架: NGB-022, 多角度, </w:t>
      </w:r>
      <w:r>
        <w:rPr>
          <w:rFonts w:hint="eastAsia"/>
          <w:lang w:val="en-US" w:eastAsia="zh-CN"/>
        </w:rPr>
        <w:t>支持重复</w:t>
      </w:r>
      <w:r>
        <w:rPr>
          <w:rFonts w:hint="eastAsia"/>
        </w:rPr>
        <w:t>消毒</w:t>
      </w:r>
      <w:r>
        <w:rPr>
          <w:rFonts w:hint="eastAsia"/>
          <w:lang w:eastAsia="zh-CN"/>
        </w:rPr>
        <w:t>。</w:t>
      </w:r>
    </w:p>
    <w:p>
      <w:pPr>
        <w:rPr>
          <w:rFonts w:hint="eastAsia"/>
          <w:lang w:val="en-US" w:eastAsia="zh-CN"/>
        </w:rPr>
      </w:pPr>
      <w:r>
        <w:rPr>
          <w:rFonts w:hint="eastAsia"/>
          <w:lang w:val="en-US" w:eastAsia="zh-CN"/>
        </w:rPr>
        <w:t>10.</w:t>
      </w:r>
      <w:r>
        <w:rPr>
          <w:rFonts w:hint="eastAsia" w:ascii="宋体" w:hAnsi="宋体" w:eastAsia="宋体" w:cs="宋体"/>
          <w:color w:val="000000"/>
          <w:kern w:val="0"/>
          <w:lang w:val="en-US" w:eastAsia="zh-CN"/>
        </w:rPr>
        <w:t>★</w:t>
      </w:r>
      <w:r>
        <w:rPr>
          <w:rFonts w:hint="eastAsia"/>
          <w:lang w:val="en-US" w:eastAsia="zh-CN"/>
        </w:rPr>
        <w:t>适配医院现有彩超使用（品牌型号：迈瑞、M9）。.</w:t>
      </w:r>
    </w:p>
    <w:p>
      <w:pPr>
        <w:spacing w:line="360" w:lineRule="exact"/>
        <w:jc w:val="left"/>
        <w:rPr>
          <w:b/>
          <w:bCs/>
        </w:rPr>
      </w:pPr>
      <w:r>
        <w:rPr>
          <w:rFonts w:hint="eastAsia"/>
          <w:b/>
          <w:bCs/>
        </w:rPr>
        <w:t>三、商务要求：</w:t>
      </w:r>
    </w:p>
    <w:p>
      <w:pPr>
        <w:spacing w:line="360" w:lineRule="exact"/>
        <w:jc w:val="left"/>
      </w:pPr>
      <w:r>
        <w:rPr>
          <w:rFonts w:hint="eastAsia"/>
        </w:rPr>
        <w:t>1.合同履行期限及地点</w:t>
      </w:r>
    </w:p>
    <w:p>
      <w:pPr>
        <w:spacing w:line="360" w:lineRule="exact"/>
        <w:jc w:val="left"/>
      </w:pPr>
      <w:r>
        <w:rPr>
          <w:rFonts w:hint="eastAsia"/>
        </w:rPr>
        <w:t>1.1 合同履行期限：合同签订生效后，收到采购人通知后30日内完成安装调试并交付采购人验收至质保期结束。</w:t>
      </w:r>
    </w:p>
    <w:p>
      <w:pPr>
        <w:spacing w:line="360" w:lineRule="exact"/>
        <w:jc w:val="left"/>
      </w:pPr>
      <w:r>
        <w:rPr>
          <w:rFonts w:hint="eastAsia"/>
        </w:rPr>
        <w:t>1.2 合同履行地点：四川省妇幼保健院。</w:t>
      </w:r>
    </w:p>
    <w:p>
      <w:pPr>
        <w:spacing w:line="360" w:lineRule="exact"/>
      </w:pPr>
      <w:r>
        <w:rPr>
          <w:rFonts w:hint="eastAsia"/>
        </w:rPr>
        <w:t>2.付款方法和条件：</w:t>
      </w:r>
      <w:r>
        <w:rPr>
          <w:rFonts w:hint="eastAsia" w:ascii="宋体" w:hAnsi="宋体" w:eastAsia="宋体" w:cs="宋体"/>
          <w:color w:val="000000"/>
          <w:kern w:val="0"/>
          <w:lang w:val="en-US" w:eastAsia="zh-Hans"/>
        </w:rPr>
        <w:t>全部货物安装调试完毕并验收合格后，采购人收到中标人提交完备票据凭证资料后60日内支付90%货款，剩余10%货款在货物验收结束2年后在无产品质量和售后服务问题前提下进行支付。</w:t>
      </w:r>
      <w:r>
        <w:rPr>
          <w:rFonts w:hint="eastAsia"/>
        </w:rPr>
        <w:t>3.安装调试及验收：</w:t>
      </w:r>
    </w:p>
    <w:p>
      <w:pPr>
        <w:spacing w:line="360" w:lineRule="exact"/>
        <w:jc w:val="left"/>
      </w:pPr>
      <w:r>
        <w:rPr>
          <w:rFonts w:hint="eastAsia"/>
        </w:rPr>
        <w:t>3.1中标人负责货物安装、调试。</w:t>
      </w:r>
    </w:p>
    <w:p>
      <w:pPr>
        <w:spacing w:line="360" w:lineRule="exact"/>
        <w:jc w:val="left"/>
      </w:pPr>
      <w:r>
        <w:rPr>
          <w:rFonts w:hint="eastAsia"/>
        </w:rPr>
        <w:t>3.2货物安装调试完毕后，中标人应对采购人操作人员进行现场培训，直至采购人的技术人员能独立操作，同时能完成一般常见故障的维修工作。</w:t>
      </w:r>
    </w:p>
    <w:p>
      <w:pPr>
        <w:spacing w:line="360" w:lineRule="exact"/>
        <w:jc w:val="left"/>
      </w:pPr>
      <w:r>
        <w:rPr>
          <w:rFonts w:hint="eastAsia"/>
        </w:rPr>
        <w:t>3.3完成中标产品所有安装、调试、培训后，采购人组织项目验收，验收标准按照招标文件、中标人投标文件为准。</w:t>
      </w:r>
    </w:p>
    <w:p>
      <w:pPr>
        <w:spacing w:line="360" w:lineRule="exact"/>
        <w:jc w:val="left"/>
      </w:pPr>
      <w:r>
        <w:rPr>
          <w:rFonts w:hint="eastAsia"/>
        </w:rPr>
        <w:t>4.售后服务：</w:t>
      </w:r>
    </w:p>
    <w:p>
      <w:pPr>
        <w:spacing w:line="360" w:lineRule="exact"/>
        <w:jc w:val="left"/>
      </w:pPr>
      <w:r>
        <w:rPr>
          <w:rFonts w:hint="eastAsia"/>
        </w:rPr>
        <w:t>4.1质保期：最终验收合格后提供≥3年原厂质保（含整机所有部件；如质保期内部件损坏，中标人免费更换全新原厂配件，并对更换部件延长一年质保）。</w:t>
      </w:r>
    </w:p>
    <w:p>
      <w:pPr>
        <w:spacing w:line="360" w:lineRule="exact"/>
        <w:jc w:val="left"/>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left"/>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left"/>
      </w:pPr>
      <w:r>
        <w:rPr>
          <w:rFonts w:hint="eastAsia"/>
        </w:rPr>
        <w:t>4.4如货物涉及软件升级，中标人承诺为采购人提供软件升级服务，费用包含在投标总价内，采购人不再另行支付费用。</w:t>
      </w:r>
    </w:p>
    <w:p>
      <w:pPr>
        <w:spacing w:line="420" w:lineRule="exact"/>
        <w:jc w:val="left"/>
      </w:pPr>
      <w:r>
        <w:rPr>
          <w:rFonts w:hint="eastAsia"/>
        </w:rPr>
        <w:t>4.5中标人应承诺保证设备停产后≥5年的零配件供应。</w:t>
      </w:r>
    </w:p>
    <w:p>
      <w:pPr>
        <w:spacing w:line="420" w:lineRule="exact"/>
        <w:jc w:val="left"/>
      </w:pPr>
      <w:r>
        <w:rPr>
          <w:rFonts w:hint="eastAsia" w:ascii="宋体" w:hAnsi="宋体" w:cs="宋体"/>
          <w:kern w:val="0"/>
          <w:szCs w:val="21"/>
        </w:rPr>
        <w:t>4.6</w:t>
      </w:r>
      <w:r>
        <w:rPr>
          <w:rFonts w:hint="eastAsia" w:ascii="宋体" w:hAnsi="宋体" w:cs="宋体"/>
          <w:color w:val="000000"/>
          <w:kern w:val="0"/>
        </w:rPr>
        <w:t>质保期内提供1年≥1次巡检，并提供巡检记录。</w:t>
      </w:r>
    </w:p>
    <w:p>
      <w:pPr>
        <w:spacing w:line="360" w:lineRule="exact"/>
        <w:jc w:val="left"/>
        <w:rPr>
          <w:rFonts w:hAnsi="宋体" w:cs="Segoe UI"/>
          <w:b/>
          <w:bCs/>
          <w:color w:val="333333"/>
          <w:kern w:val="0"/>
          <w:sz w:val="28"/>
          <w:szCs w:val="28"/>
        </w:rPr>
      </w:pPr>
      <w:r>
        <w:rPr>
          <w:rFonts w:hint="eastAsia"/>
          <w:b/>
          <w:bCs/>
        </w:rPr>
        <w:t>备注: 商务条款为本次招标项目的实质性要求，不允许有负偏离。</w:t>
      </w:r>
    </w:p>
    <w:p>
      <w:pPr>
        <w:pStyle w:val="5"/>
        <w:rPr>
          <w:rFonts w:hint="eastAsia" w:hAnsi="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333333"/>
                <w:kern w:val="0"/>
                <w:lang w:val="en-US" w:eastAsia="zh-CN"/>
              </w:rPr>
              <w:t>54</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w:t>
            </w:r>
            <w:r>
              <w:rPr>
                <w:rFonts w:hint="eastAsia" w:ascii="宋体" w:hAnsi="宋体" w:cs="宋体"/>
                <w:lang w:val="en-US" w:eastAsia="zh-CN"/>
              </w:rPr>
              <w:t>技术参数</w:t>
            </w:r>
            <w:r>
              <w:rPr>
                <w:rFonts w:hint="eastAsia" w:ascii="宋体" w:hAnsi="宋体" w:cs="宋体"/>
              </w:rPr>
              <w:t>条款负偏离一项扣</w:t>
            </w:r>
            <w:r>
              <w:rPr>
                <w:rFonts w:hint="eastAsia" w:ascii="宋体" w:hAnsi="宋体" w:cs="宋体"/>
                <w:lang w:val="en-US" w:eastAsia="zh-CN"/>
              </w:rPr>
              <w:t>3</w:t>
            </w:r>
            <w:r>
              <w:rPr>
                <w:rFonts w:hint="eastAsia" w:ascii="宋体" w:hAnsi="宋体" w:cs="宋体"/>
              </w:rPr>
              <w:t>分，扣完为止。（</w:t>
            </w:r>
            <w:r>
              <w:rPr>
                <w:rFonts w:hint="eastAsia" w:ascii="宋体" w:hAnsi="宋体" w:cs="宋体"/>
                <w:lang w:val="en-US" w:eastAsia="zh-CN"/>
              </w:rPr>
              <w:t>技术参数</w:t>
            </w:r>
            <w:r>
              <w:rPr>
                <w:rFonts w:hint="eastAsia" w:ascii="宋体" w:hAnsi="宋体" w:cs="宋体"/>
              </w:rPr>
              <w:t>条款共</w:t>
            </w:r>
            <w:r>
              <w:rPr>
                <w:rFonts w:hint="eastAsia" w:ascii="宋体" w:hAnsi="宋体" w:cs="宋体"/>
                <w:lang w:val="en-US" w:eastAsia="zh-CN"/>
              </w:rPr>
              <w:t>18</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自2021年1月1日（含）至今，以合同签订时间为准，投标人每具有一个投标产品业绩的得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8</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ind w:left="-105" w:leftChars="0" w:right="-107" w:rightChars="0"/>
              <w:jc w:val="center"/>
              <w:rPr>
                <w:rFonts w:ascii="宋体" w:hAnsi="宋体"/>
              </w:rPr>
            </w:pPr>
            <w:r>
              <w:rPr>
                <w:rFonts w:hint="eastAsia" w:ascii="宋体" w:hAnsi="宋体" w:cs="Segoe UI"/>
                <w:color w:val="333333"/>
                <w:kern w:val="0"/>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360" w:lineRule="exact"/>
              <w:jc w:val="left"/>
              <w:rPr>
                <w:rFonts w:hint="eastAsia" w:ascii="宋体" w:hAnsi="宋体" w:cs="宋体"/>
              </w:rPr>
            </w:pPr>
            <w:r>
              <w:rPr>
                <w:rFonts w:hint="eastAsia" w:ascii="宋体" w:hAnsi="宋体" w:cs="宋体"/>
              </w:rPr>
              <w:t>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ascii="宋体" w:hAnsi="宋体" w:cs="宋体"/>
              </w:rPr>
              <w:t>0.</w:t>
            </w:r>
            <w:r>
              <w:rPr>
                <w:rFonts w:hint="eastAsia" w:ascii="宋体" w:hAnsi="宋体" w:cs="宋体"/>
                <w:lang w:val="en-US" w:eastAsia="zh-CN"/>
              </w:rPr>
              <w:t>5</w:t>
            </w:r>
            <w:r>
              <w:rPr>
                <w:rFonts w:hint="eastAsia" w:ascii="宋体" w:hAnsi="宋体" w:cs="宋体"/>
              </w:rPr>
              <w:t>分，扣完为止。</w:t>
            </w:r>
          </w:p>
          <w:p>
            <w:pPr>
              <w:widowControl/>
              <w:numPr>
                <w:ilvl w:val="0"/>
                <w:numId w:val="0"/>
              </w:numPr>
              <w:spacing w:line="360" w:lineRule="exact"/>
              <w:jc w:val="lef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w:t>
            </w:r>
            <w:r>
              <w:rPr>
                <w:rFonts w:ascii="宋体" w:hAnsi="宋体" w:cs="宋体"/>
              </w:rPr>
              <w:t>2</w:t>
            </w:r>
            <w:r>
              <w:rPr>
                <w:rFonts w:hint="eastAsia" w:ascii="宋体" w:hAnsi="宋体" w:cs="宋体"/>
              </w:rPr>
              <w:t>个方面的得4分，每缺少一项的扣2分，每有一项存在内容缺陷扣1分，扣完为止。</w:t>
            </w:r>
          </w:p>
          <w:p>
            <w:pPr>
              <w:widowControl/>
              <w:spacing w:line="360" w:lineRule="exact"/>
              <w:jc w:val="left"/>
              <w:rPr>
                <w:rFonts w:ascii="宋体" w:hAnsi="宋体" w:cs="宋体"/>
              </w:rPr>
            </w:pPr>
            <w:r>
              <w:rPr>
                <w:rFonts w:hint="eastAsia" w:ascii="宋体" w:hAnsi="宋体" w:cs="宋体"/>
              </w:rPr>
              <w:t>注：内容缺陷是指非专门针对本项目或不适用项目特性的情形、内容不完整或缺少关键节点、套用其他项目内容、内容前后矛盾、涉及的规范及标准错误、不利于项目实施、不可能实现的情形等任意一种情形。</w:t>
            </w:r>
            <w:r>
              <w:rPr>
                <w:rFonts w:ascii="宋体" w:hAnsi="宋体" w:cs="宋体"/>
              </w:rPr>
              <w:t xml:space="preserve">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C934"/>
    <w:multiLevelType w:val="singleLevel"/>
    <w:tmpl w:val="3AAAC9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890D43"/>
    <w:rsid w:val="0C0A0390"/>
    <w:rsid w:val="0C69586C"/>
    <w:rsid w:val="0EB033E5"/>
    <w:rsid w:val="15B626DC"/>
    <w:rsid w:val="17E0197B"/>
    <w:rsid w:val="18472232"/>
    <w:rsid w:val="18B93B85"/>
    <w:rsid w:val="1A707F41"/>
    <w:rsid w:val="1DE05766"/>
    <w:rsid w:val="1E997E27"/>
    <w:rsid w:val="1F19224C"/>
    <w:rsid w:val="22827069"/>
    <w:rsid w:val="25933A00"/>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70819C7"/>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4"/>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2024-03-15T08:01:00Z</cp:lastPrinted>
  <dcterms:modified xsi:type="dcterms:W3CDTF">2024-05-23T06:59:42Z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