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sz w:val="40"/>
          <w:szCs w:val="4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采购项目编号：SCFY-YXZB202405-007（磋）</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b/>
          <w:bCs/>
          <w:kern w:val="0"/>
          <w:sz w:val="24"/>
          <w:szCs w:val="24"/>
          <w:lang w:val="en-US" w:eastAsia="zh-CN" w:bidi="ar-SA"/>
        </w:rPr>
        <w:t>二、年度采购预算：12万元/年</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p>
      <w:pPr>
        <w:keepNext w:val="0"/>
        <w:keepLines w:val="0"/>
        <w:widowControl/>
        <w:suppressLineNumbers w:val="0"/>
        <w:wordWrap w:val="0"/>
        <w:jc w:val="left"/>
        <w:rPr>
          <w:rFonts w:hint="eastAsia"/>
        </w:rPr>
      </w:pPr>
    </w:p>
    <w:tbl>
      <w:tblPr>
        <w:tblStyle w:val="12"/>
        <w:tblW w:w="47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16"/>
        <w:gridCol w:w="1200"/>
        <w:gridCol w:w="1080"/>
        <w:gridCol w:w="5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00" w:type="dxa"/>
            <w:noWrap w:val="0"/>
            <w:vAlign w:val="center"/>
          </w:tcPr>
          <w:p>
            <w:pPr>
              <w:autoSpaceDE w:val="0"/>
              <w:autoSpaceDN w:val="0"/>
              <w:jc w:val="center"/>
              <w:rPr>
                <w:rFonts w:ascii="宋体" w:hAnsi="宋体"/>
                <w:b/>
                <w:sz w:val="21"/>
                <w:szCs w:val="21"/>
              </w:rPr>
            </w:pPr>
            <w:r>
              <w:rPr>
                <w:rFonts w:hint="eastAsia" w:ascii="宋体" w:hAnsi="宋体"/>
                <w:b/>
                <w:sz w:val="21"/>
                <w:szCs w:val="21"/>
              </w:rPr>
              <w:t>序号</w:t>
            </w:r>
          </w:p>
        </w:tc>
        <w:tc>
          <w:tcPr>
            <w:tcW w:w="816" w:type="dxa"/>
            <w:noWrap w:val="0"/>
            <w:vAlign w:val="center"/>
          </w:tcPr>
          <w:p>
            <w:pPr>
              <w:autoSpaceDE w:val="0"/>
              <w:autoSpaceDN w:val="0"/>
              <w:jc w:val="center"/>
              <w:rPr>
                <w:rFonts w:ascii="宋体" w:hAnsi="宋体"/>
                <w:b/>
                <w:sz w:val="21"/>
                <w:szCs w:val="21"/>
              </w:rPr>
            </w:pPr>
            <w:r>
              <w:rPr>
                <w:rFonts w:ascii="宋体" w:hAnsi="宋体"/>
                <w:b/>
                <w:sz w:val="21"/>
                <w:szCs w:val="21"/>
              </w:rPr>
              <w:t>产品名称</w:t>
            </w:r>
          </w:p>
        </w:tc>
        <w:tc>
          <w:tcPr>
            <w:tcW w:w="1200" w:type="dxa"/>
            <w:noWrap w:val="0"/>
            <w:vAlign w:val="center"/>
          </w:tcPr>
          <w:p>
            <w:pPr>
              <w:autoSpaceDE w:val="0"/>
              <w:autoSpaceDN w:val="0"/>
              <w:jc w:val="center"/>
              <w:rPr>
                <w:rFonts w:hint="default" w:ascii="宋体" w:hAnsi="宋体" w:eastAsia="宋体"/>
                <w:b/>
                <w:sz w:val="21"/>
                <w:szCs w:val="21"/>
                <w:lang w:val="en-US" w:eastAsia="zh-CN"/>
              </w:rPr>
            </w:pPr>
            <w:r>
              <w:rPr>
                <w:rFonts w:hint="eastAsia" w:ascii="宋体" w:hAnsi="宋体"/>
                <w:b/>
                <w:sz w:val="21"/>
                <w:szCs w:val="21"/>
              </w:rPr>
              <w:t>预算单价（元）</w:t>
            </w:r>
          </w:p>
        </w:tc>
        <w:tc>
          <w:tcPr>
            <w:tcW w:w="1080" w:type="dxa"/>
            <w:noWrap w:val="0"/>
            <w:vAlign w:val="center"/>
          </w:tcPr>
          <w:p>
            <w:pPr>
              <w:autoSpaceDE w:val="0"/>
              <w:autoSpaceDN w:val="0"/>
              <w:jc w:val="center"/>
              <w:rPr>
                <w:rFonts w:ascii="宋体" w:hAnsi="宋体"/>
                <w:b/>
                <w:sz w:val="21"/>
                <w:szCs w:val="21"/>
              </w:rPr>
            </w:pPr>
            <w:r>
              <w:rPr>
                <w:rFonts w:hint="eastAsia" w:ascii="宋体" w:hAnsi="宋体"/>
                <w:b/>
                <w:sz w:val="21"/>
                <w:szCs w:val="21"/>
              </w:rPr>
              <w:t>预估年度</w:t>
            </w:r>
          </w:p>
          <w:p>
            <w:pPr>
              <w:autoSpaceDE w:val="0"/>
              <w:autoSpaceDN w:val="0"/>
              <w:jc w:val="center"/>
              <w:rPr>
                <w:rFonts w:ascii="宋体" w:hAnsi="宋体"/>
                <w:b/>
                <w:sz w:val="21"/>
                <w:szCs w:val="21"/>
              </w:rPr>
            </w:pPr>
            <w:r>
              <w:rPr>
                <w:rFonts w:hint="eastAsia" w:ascii="宋体" w:hAnsi="宋体"/>
                <w:b/>
                <w:sz w:val="21"/>
                <w:szCs w:val="21"/>
              </w:rPr>
              <w:t>用量</w:t>
            </w:r>
          </w:p>
        </w:tc>
        <w:tc>
          <w:tcPr>
            <w:tcW w:w="5796" w:type="dxa"/>
            <w:noWrap w:val="0"/>
            <w:vAlign w:val="center"/>
          </w:tcPr>
          <w:p>
            <w:pPr>
              <w:autoSpaceDE w:val="0"/>
              <w:autoSpaceDN w:val="0"/>
              <w:jc w:val="center"/>
              <w:rPr>
                <w:rFonts w:ascii="宋体" w:hAnsi="宋体"/>
                <w:b/>
                <w:sz w:val="21"/>
                <w:szCs w:val="21"/>
              </w:rPr>
            </w:pPr>
            <w:r>
              <w:rPr>
                <w:rFonts w:ascii="宋体" w:hAnsi="宋体"/>
                <w:b/>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600" w:type="dxa"/>
            <w:noWrap w:val="0"/>
            <w:vAlign w:val="center"/>
          </w:tcPr>
          <w:p>
            <w:pPr>
              <w:autoSpaceDE w:val="0"/>
              <w:autoSpaceDN w:val="0"/>
              <w:jc w:val="center"/>
              <w:rPr>
                <w:rFonts w:ascii="宋体" w:hAnsi="宋体"/>
                <w:kern w:val="2"/>
                <w:sz w:val="24"/>
                <w:szCs w:val="24"/>
                <w:lang w:val="en-US" w:eastAsia="zh-CN" w:bidi="ar-SA"/>
              </w:rPr>
            </w:pPr>
            <w:r>
              <w:rPr>
                <w:rFonts w:hint="eastAsia" w:ascii="宋体" w:hAnsi="宋体"/>
                <w:sz w:val="24"/>
                <w:szCs w:val="28"/>
              </w:rPr>
              <w:t>1</w:t>
            </w:r>
          </w:p>
        </w:tc>
        <w:tc>
          <w:tcPr>
            <w:tcW w:w="816"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szCs w:val="24"/>
              </w:rPr>
              <w:t>医用</w:t>
            </w:r>
            <w:r>
              <w:rPr>
                <w:szCs w:val="24"/>
              </w:rPr>
              <w:t>钙石灰</w:t>
            </w:r>
          </w:p>
        </w:tc>
        <w:tc>
          <w:tcPr>
            <w:tcW w:w="1200"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rPr>
              <w:t>300</w:t>
            </w:r>
          </w:p>
        </w:tc>
        <w:tc>
          <w:tcPr>
            <w:tcW w:w="1080" w:type="dxa"/>
            <w:noWrap w:val="0"/>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rPr>
              <w:t>400瓶</w:t>
            </w:r>
          </w:p>
        </w:tc>
        <w:tc>
          <w:tcPr>
            <w:tcW w:w="5796" w:type="dxa"/>
            <w:noWrap w:val="0"/>
            <w:vAlign w:val="top"/>
          </w:tcPr>
          <w:p>
            <w:r>
              <w:rPr>
                <w:rFonts w:hint="eastAsia"/>
              </w:rPr>
              <w:t>▲1</w:t>
            </w:r>
            <w:r>
              <w:rPr>
                <w:rFonts w:hint="eastAsia"/>
                <w:lang w:val="en-US" w:eastAsia="zh-CN"/>
              </w:rPr>
              <w:t xml:space="preserve">. </w:t>
            </w:r>
            <w:r>
              <w:rPr>
                <w:rFonts w:hint="eastAsia"/>
              </w:rPr>
              <w:t>用途：用于吸收麻醉呼吸管路中的二氧化碳等酸性气体，与麻醉机配套使用。</w:t>
            </w:r>
          </w:p>
          <w:p>
            <w:r>
              <w:rPr>
                <w:rFonts w:hint="eastAsia" w:ascii="宋体" w:hAnsi="宋体" w:cs="宋体"/>
                <w:kern w:val="0"/>
                <w:sz w:val="18"/>
                <w:szCs w:val="18"/>
              </w:rPr>
              <w:t>*</w:t>
            </w:r>
            <w:r>
              <w:rPr>
                <w:rFonts w:hint="eastAsia" w:ascii="宋体" w:hAnsi="宋体" w:cs="宋体"/>
                <w:kern w:val="0"/>
                <w:sz w:val="18"/>
                <w:szCs w:val="18"/>
                <w:lang w:val="en-US" w:eastAsia="zh-CN"/>
              </w:rPr>
              <w:t xml:space="preserve"> </w:t>
            </w:r>
            <w:r>
              <w:rPr>
                <w:rFonts w:hint="eastAsia"/>
              </w:rPr>
              <w:t>2</w:t>
            </w:r>
            <w:r>
              <w:rPr>
                <w:rFonts w:hint="eastAsia"/>
                <w:lang w:val="en-US" w:eastAsia="zh-CN"/>
              </w:rPr>
              <w:t xml:space="preserve">. </w:t>
            </w:r>
            <w:r>
              <w:rPr>
                <w:rFonts w:hint="eastAsia"/>
              </w:rPr>
              <w:t>性状：钙石灰为加有变色指示剂的白色形条状颗粒，吸收二氧化碳后产品颜色由白色变成紫色或红色。</w:t>
            </w:r>
          </w:p>
          <w:p>
            <w:pPr>
              <w:pStyle w:val="2"/>
              <w:numPr>
                <w:ilvl w:val="0"/>
                <w:numId w:val="1"/>
              </w:numPr>
              <w:rPr>
                <w:rFonts w:hint="default"/>
                <w:sz w:val="24"/>
                <w:szCs w:val="28"/>
                <w:lang w:val="en-US" w:eastAsia="zh-CN"/>
              </w:rPr>
            </w:pPr>
            <w:r>
              <w:rPr>
                <w:rFonts w:hint="eastAsia"/>
              </w:rPr>
              <w:t>颗粒硬度和大小符合临床需求</w:t>
            </w:r>
            <w:r>
              <w:rPr>
                <w:rFonts w:hint="eastAsia"/>
                <w:lang w:eastAsia="zh-CN"/>
              </w:rPr>
              <w:t>。</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pPr>
      <w:r>
        <w:rPr>
          <w:rFonts w:hint="eastAsia"/>
        </w:rPr>
        <w:t>▲1.供应商投标产品若为Ⅱ、Ⅲ类医疗器械和具有医疗器械注册证或备案凭证的体外诊断试剂，则必须为四川省药械集中采购及医药价格监管平台挂网公示产品,并提供挂网商品代码（</w:t>
      </w:r>
      <w:r>
        <w:rPr>
          <w:rFonts w:hint="eastAsia"/>
          <w:b/>
          <w:bCs/>
        </w:rPr>
        <w:t>已经挂网的需要提供集采平台挂网截图</w:t>
      </w:r>
      <w:r>
        <w:rPr>
          <w:rFonts w:hint="eastAsia"/>
        </w:rPr>
        <w:t>）。</w:t>
      </w:r>
    </w:p>
    <w:p>
      <w:pPr>
        <w:pStyle w:val="2"/>
      </w:pPr>
      <w:r>
        <w:rPr>
          <w:rFonts w:hint="eastAsia"/>
        </w:rPr>
        <w:t>▲2.供货期限：3年，采购数量以实际使用量为准。</w:t>
      </w:r>
    </w:p>
    <w:p>
      <w:pPr>
        <w:widowControl/>
        <w:shd w:val="clear"/>
        <w:spacing w:line="360" w:lineRule="auto"/>
        <w:jc w:val="left"/>
        <w:rPr>
          <w:rFonts w:hint="eastAsia"/>
        </w:rPr>
      </w:pPr>
      <w:r>
        <w:rPr>
          <w:rFonts w:hint="eastAsia"/>
        </w:rPr>
        <w:t>▲3.合同结算：本项目的“预估年度用量”、 供应商的“投标总价”仅做为报价评审依据，最终根据实际需求进行相应调整，结算以实际发生量乘以供应商挂网单价（未挂网按投标单价）结算。</w:t>
      </w:r>
    </w:p>
    <w:p>
      <w:pPr>
        <w:rPr>
          <w:rFonts w:hint="eastAsia"/>
        </w:rPr>
      </w:pPr>
      <w:r>
        <w:rPr>
          <w:rFonts w:hint="eastAsia"/>
        </w:rPr>
        <w:br w:type="page"/>
      </w:r>
    </w:p>
    <w:p>
      <w:pPr>
        <w:rPr>
          <w:rFonts w:hint="eastAsia"/>
        </w:rPr>
      </w:pP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348"/>
        <w:gridCol w:w="649"/>
        <w:gridCol w:w="3683"/>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29"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695" w:type="pct"/>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34"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1899"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741" w:type="pct"/>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2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1348" w:type="dxa"/>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649" w:type="dxa"/>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3683" w:type="dxa"/>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kern w:val="0"/>
                <w:sz w:val="18"/>
                <w:szCs w:val="18"/>
              </w:rPr>
              <w:t>投标耗材（试剂）满足招标文件要求且以</w:t>
            </w:r>
            <w:r>
              <w:rPr>
                <w:rFonts w:hint="eastAsia" w:ascii="宋体" w:hAnsi="宋体" w:cs="Segoe UI"/>
                <w:b/>
                <w:bCs/>
                <w:kern w:val="0"/>
                <w:sz w:val="18"/>
                <w:szCs w:val="18"/>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，其价格分为30分。其他投标人的价格分统一按照以下公式计算：价格分=(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／投标总价)×30</w:t>
            </w:r>
          </w:p>
        </w:tc>
        <w:tc>
          <w:tcPr>
            <w:tcW w:w="3376" w:type="dxa"/>
            <w:vAlign w:val="center"/>
          </w:tcPr>
          <w:p>
            <w:pPr>
              <w:widowControl/>
              <w:numPr>
                <w:ilvl w:val="0"/>
                <w:numId w:val="2"/>
              </w:numPr>
              <w:wordWrap w:val="0"/>
              <w:spacing w:line="270" w:lineRule="atLeast"/>
              <w:jc w:val="left"/>
              <w:rPr>
                <w:rFonts w:ascii="宋体" w:hAnsi="宋体" w:cs="Segoe UI"/>
                <w:kern w:val="0"/>
                <w:sz w:val="18"/>
                <w:szCs w:val="18"/>
              </w:rPr>
            </w:pPr>
            <w:r>
              <w:rPr>
                <w:rFonts w:hint="eastAsia" w:ascii="宋体" w:hAnsi="宋体" w:cs="Segoe UI"/>
                <w:b/>
                <w:kern w:val="0"/>
                <w:sz w:val="18"/>
                <w:szCs w:val="18"/>
              </w:rPr>
              <w:t>投标总价</w:t>
            </w:r>
            <w:r>
              <w:rPr>
                <w:rFonts w:hint="eastAsia" w:ascii="宋体" w:hAnsi="宋体" w:cs="Segoe UI"/>
                <w:kern w:val="0"/>
                <w:sz w:val="18"/>
                <w:szCs w:val="18"/>
              </w:rPr>
              <w:t>=单价*预估年度用量之和;</w:t>
            </w:r>
          </w:p>
          <w:p>
            <w:pPr>
              <w:widowControl/>
              <w:numPr>
                <w:ilvl w:val="0"/>
                <w:numId w:val="2"/>
              </w:numPr>
              <w:wordWrap w:val="0"/>
              <w:spacing w:line="270" w:lineRule="atLeast"/>
              <w:jc w:val="left"/>
              <w:rPr>
                <w:rFonts w:ascii="宋体" w:hAnsi="宋体" w:cs="Segoe UI"/>
                <w:kern w:val="0"/>
                <w:sz w:val="18"/>
                <w:szCs w:val="18"/>
              </w:rPr>
            </w:pPr>
            <w:r>
              <w:rPr>
                <w:rFonts w:hint="eastAsia" w:ascii="宋体" w:hAnsi="宋体" w:cs="宋体"/>
                <w:kern w:val="0"/>
                <w:sz w:val="18"/>
                <w:szCs w:val="18"/>
              </w:rPr>
              <w:t>产品有细分规格且报价不同，则按照同品类平均价计算单价。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32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2</w:t>
            </w:r>
          </w:p>
        </w:tc>
        <w:tc>
          <w:tcPr>
            <w:tcW w:w="1348" w:type="dxa"/>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41%</w:t>
            </w:r>
          </w:p>
        </w:tc>
        <w:tc>
          <w:tcPr>
            <w:tcW w:w="649" w:type="dxa"/>
            <w:vAlign w:val="center"/>
          </w:tcPr>
          <w:p>
            <w:pPr>
              <w:widowControl/>
              <w:wordWrap w:val="0"/>
              <w:spacing w:line="270" w:lineRule="atLeast"/>
              <w:jc w:val="center"/>
              <w:rPr>
                <w:rFonts w:hint="default" w:ascii="宋体" w:hAnsi="宋体" w:eastAsia="宋体" w:cs="Segoe UI"/>
                <w:color w:val="333333"/>
                <w:kern w:val="0"/>
                <w:sz w:val="18"/>
                <w:szCs w:val="18"/>
                <w:lang w:val="en-US" w:eastAsia="zh-CN"/>
              </w:rPr>
            </w:pPr>
            <w:r>
              <w:rPr>
                <w:rFonts w:hint="eastAsia" w:ascii="宋体" w:hAnsi="宋体" w:cs="Segoe UI"/>
                <w:color w:val="000000"/>
                <w:kern w:val="0"/>
                <w:sz w:val="18"/>
                <w:szCs w:val="18"/>
              </w:rPr>
              <w:t>41</w:t>
            </w:r>
          </w:p>
        </w:tc>
        <w:tc>
          <w:tcPr>
            <w:tcW w:w="3683" w:type="dxa"/>
            <w:vAlign w:val="center"/>
          </w:tcPr>
          <w:p>
            <w:pPr>
              <w:widowControl/>
              <w:wordWrap w:val="0"/>
              <w:spacing w:line="270" w:lineRule="atLeast"/>
              <w:jc w:val="left"/>
              <w:rPr>
                <w:rFonts w:ascii="宋体" w:hAnsi="宋体" w:cs="Segoe UI"/>
                <w:kern w:val="0"/>
                <w:sz w:val="18"/>
                <w:szCs w:val="18"/>
              </w:rPr>
            </w:pPr>
            <w:r>
              <w:rPr>
                <w:rFonts w:hint="eastAsia" w:ascii="宋体" w:hAnsi="宋体" w:cs="宋体"/>
                <w:kern w:val="0"/>
                <w:sz w:val="18"/>
                <w:szCs w:val="18"/>
              </w:rPr>
              <w:t>投标人提供的试剂耗材的技术参数完全符合招标文件要求，没有负偏离得满分</w:t>
            </w:r>
            <w:r>
              <w:rPr>
                <w:rFonts w:hint="eastAsia" w:ascii="宋体" w:hAnsi="宋体" w:cs="宋体"/>
                <w:kern w:val="0"/>
                <w:sz w:val="18"/>
                <w:szCs w:val="18"/>
                <w:lang w:val="en-US" w:eastAsia="zh-CN"/>
              </w:rPr>
              <w:t>41分</w:t>
            </w:r>
            <w:r>
              <w:rPr>
                <w:rFonts w:hint="eastAsia" w:ascii="宋体" w:hAnsi="宋体" w:cs="宋体"/>
                <w:kern w:val="0"/>
                <w:sz w:val="18"/>
                <w:szCs w:val="18"/>
              </w:rPr>
              <w:t>；</w:t>
            </w:r>
            <w:r>
              <w:rPr>
                <w:rFonts w:hint="eastAsia" w:ascii="宋体" w:hAnsi="宋体" w:cs="宋体"/>
                <w:color w:val="auto"/>
                <w:kern w:val="0"/>
                <w:sz w:val="18"/>
                <w:szCs w:val="18"/>
              </w:rPr>
              <w:t>“*”条款技术参数不满足招标文件要求（负偏离），</w:t>
            </w:r>
            <w:r>
              <w:rPr>
                <w:rFonts w:hint="eastAsia" w:ascii="宋体" w:hAnsi="宋体" w:cs="宋体"/>
                <w:kern w:val="0"/>
                <w:sz w:val="18"/>
                <w:szCs w:val="18"/>
              </w:rPr>
              <w:t>一次扣</w:t>
            </w:r>
            <w:r>
              <w:rPr>
                <w:rFonts w:hint="eastAsia" w:ascii="宋体" w:hAnsi="宋体" w:cs="宋体"/>
                <w:kern w:val="0"/>
                <w:sz w:val="18"/>
                <w:szCs w:val="18"/>
                <w:lang w:val="en-US" w:eastAsia="zh-CN"/>
              </w:rPr>
              <w:t>27</w:t>
            </w:r>
            <w:r>
              <w:rPr>
                <w:rFonts w:hint="eastAsia" w:ascii="宋体" w:hAnsi="宋体" w:cs="宋体"/>
                <w:kern w:val="0"/>
                <w:sz w:val="18"/>
                <w:szCs w:val="18"/>
              </w:rPr>
              <w:t>分；非“*”条款技术参数不满足招标文件要求（负偏离），一次扣</w:t>
            </w:r>
            <w:r>
              <w:rPr>
                <w:rFonts w:hint="eastAsia" w:ascii="宋体" w:hAnsi="宋体" w:cs="宋体"/>
                <w:kern w:val="0"/>
                <w:sz w:val="18"/>
                <w:szCs w:val="18"/>
                <w:lang w:val="en-US" w:eastAsia="zh-CN"/>
              </w:rPr>
              <w:t>14</w:t>
            </w:r>
            <w:r>
              <w:rPr>
                <w:rFonts w:hint="eastAsia" w:ascii="宋体" w:hAnsi="宋体" w:cs="宋体"/>
                <w:kern w:val="0"/>
                <w:sz w:val="18"/>
                <w:szCs w:val="18"/>
              </w:rPr>
              <w:t>分；扣完为止。</w:t>
            </w:r>
          </w:p>
        </w:tc>
        <w:tc>
          <w:tcPr>
            <w:tcW w:w="3376" w:type="dxa"/>
            <w:vAlign w:val="center"/>
          </w:tcPr>
          <w:p>
            <w:pPr>
              <w:widowControl/>
              <w:wordWrap w:val="0"/>
              <w:spacing w:line="270" w:lineRule="atLeast"/>
              <w:jc w:val="left"/>
              <w:rPr>
                <w:rFonts w:hint="eastAsia" w:ascii="宋体" w:hAnsi="宋体" w:cs="Segoe UI"/>
                <w:kern w:val="0"/>
                <w:sz w:val="18"/>
                <w:szCs w:val="18"/>
              </w:rPr>
            </w:pPr>
            <w:r>
              <w:rPr>
                <w:rFonts w:hint="eastAsia" w:ascii="宋体" w:hAnsi="宋体" w:cs="Segoe UI"/>
                <w:kern w:val="0"/>
                <w:sz w:val="18"/>
                <w:szCs w:val="18"/>
              </w:rPr>
              <w:t>  “*”条款技术参数供应商须提供技术支撑材料，并在技术响应表中备注技术支撑材料的页码位置，便于快速查阅验证：</w:t>
            </w:r>
          </w:p>
          <w:p>
            <w:pPr>
              <w:widowControl/>
              <w:wordWrap w:val="0"/>
              <w:spacing w:line="270" w:lineRule="atLeast"/>
              <w:jc w:val="left"/>
              <w:rPr>
                <w:rFonts w:ascii="宋体" w:hAnsi="宋体" w:cs="Segoe UI"/>
                <w:kern w:val="0"/>
                <w:sz w:val="18"/>
                <w:szCs w:val="18"/>
              </w:rPr>
            </w:pPr>
            <w:r>
              <w:rPr>
                <w:rFonts w:hint="eastAsia" w:ascii="宋体" w:hAnsi="宋体" w:cs="Segoe UI"/>
                <w:kern w:val="0"/>
                <w:sz w:val="18"/>
                <w:szCs w:val="18"/>
              </w:rPr>
              <w:t>1.国家相关主管部门出具的的技术支持材料，如说明书、注册证、检测报告等；2.技术支持材料，须加盖响应产品制造厂家的印章，或加盖响应产品生产厂家驻中国境内合法直属机构印章，或响应产品生产厂商直接授权的代理商的印章；3.如果没有按照以上要求提供技术支持资料的，该条技术参数在评审中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29"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3</w:t>
            </w:r>
          </w:p>
        </w:tc>
        <w:tc>
          <w:tcPr>
            <w:tcW w:w="1348" w:type="dxa"/>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10%</w:t>
            </w:r>
          </w:p>
        </w:tc>
        <w:tc>
          <w:tcPr>
            <w:tcW w:w="649" w:type="dxa"/>
            <w:vAlign w:val="center"/>
          </w:tcPr>
          <w:p>
            <w:pPr>
              <w:widowControl/>
              <w:wordWrap w:val="0"/>
              <w:spacing w:line="270" w:lineRule="atLeast"/>
              <w:jc w:val="center"/>
              <w:rPr>
                <w:rFonts w:hint="eastAsia" w:ascii="宋体" w:hAnsi="宋体" w:eastAsia="宋体" w:cs="Segoe UI"/>
                <w:color w:val="000000"/>
                <w:kern w:val="0"/>
                <w:sz w:val="18"/>
                <w:szCs w:val="18"/>
                <w:lang w:eastAsia="zh-CN"/>
              </w:rPr>
            </w:pPr>
            <w:r>
              <w:rPr>
                <w:rFonts w:hint="eastAsia" w:ascii="宋体" w:hAnsi="宋体" w:cs="Segoe UI"/>
                <w:color w:val="000000"/>
                <w:kern w:val="0"/>
                <w:sz w:val="18"/>
                <w:szCs w:val="18"/>
              </w:rPr>
              <w:t>10</w:t>
            </w:r>
          </w:p>
        </w:tc>
        <w:tc>
          <w:tcPr>
            <w:tcW w:w="3683" w:type="dxa"/>
            <w:vAlign w:val="center"/>
          </w:tcPr>
          <w:p>
            <w:pPr>
              <w:wordWrap w:val="0"/>
              <w:spacing w:line="270" w:lineRule="atLeast"/>
              <w:jc w:val="left"/>
              <w:rPr>
                <w:rFonts w:ascii="宋体" w:hAnsi="宋体" w:cs="宋体"/>
                <w:kern w:val="0"/>
                <w:sz w:val="18"/>
                <w:szCs w:val="18"/>
              </w:rPr>
            </w:pPr>
            <w:r>
              <w:rPr>
                <w:rFonts w:hint="eastAsia" w:ascii="宋体" w:hAnsi="宋体" w:cs="宋体"/>
                <w:kern w:val="0"/>
                <w:sz w:val="18"/>
                <w:szCs w:val="18"/>
              </w:rPr>
              <w:t>根据响应产品样品及产品说明书，从样品的外观、材质、性能3个方面进行评价，每有1个方面不符合临床需求的扣4分，扣完为止。未提供或提供不全本项不得分。</w:t>
            </w:r>
          </w:p>
        </w:tc>
        <w:tc>
          <w:tcPr>
            <w:tcW w:w="3376" w:type="dxa"/>
            <w:vAlign w:val="center"/>
          </w:tcPr>
          <w:p>
            <w:pPr>
              <w:wordWrap w:val="0"/>
              <w:spacing w:line="270" w:lineRule="atLeast"/>
              <w:jc w:val="left"/>
              <w:rPr>
                <w:rFonts w:ascii="宋体" w:hAnsi="宋体" w:cs="宋体"/>
                <w:kern w:val="0"/>
                <w:sz w:val="18"/>
                <w:szCs w:val="18"/>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2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4</w:t>
            </w:r>
          </w:p>
        </w:tc>
        <w:tc>
          <w:tcPr>
            <w:tcW w:w="1348" w:type="dxa"/>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10%</w:t>
            </w:r>
          </w:p>
        </w:tc>
        <w:tc>
          <w:tcPr>
            <w:tcW w:w="649" w:type="dxa"/>
            <w:vAlign w:val="center"/>
          </w:tcPr>
          <w:p>
            <w:pPr>
              <w:widowControl/>
              <w:wordWrap w:val="0"/>
              <w:spacing w:line="270" w:lineRule="atLeast"/>
              <w:jc w:val="center"/>
              <w:rPr>
                <w:rFonts w:hint="eastAsia" w:ascii="宋体" w:hAnsi="宋体" w:eastAsia="宋体" w:cs="Segoe UI"/>
                <w:color w:val="333333"/>
                <w:kern w:val="0"/>
                <w:sz w:val="18"/>
                <w:szCs w:val="18"/>
                <w:lang w:eastAsia="zh-CN"/>
              </w:rPr>
            </w:pPr>
            <w:r>
              <w:rPr>
                <w:rFonts w:hint="eastAsia" w:ascii="宋体" w:hAnsi="宋体" w:cs="Segoe UI"/>
                <w:color w:val="333333"/>
                <w:kern w:val="0"/>
                <w:sz w:val="18"/>
                <w:szCs w:val="18"/>
              </w:rPr>
              <w:t>10</w:t>
            </w:r>
          </w:p>
        </w:tc>
        <w:tc>
          <w:tcPr>
            <w:tcW w:w="3683" w:type="dxa"/>
            <w:vAlign w:val="center"/>
          </w:tcPr>
          <w:p>
            <w:pPr>
              <w:widowControl/>
              <w:wordWrap w:val="0"/>
              <w:spacing w:line="270" w:lineRule="atLeast"/>
              <w:jc w:val="left"/>
              <w:rPr>
                <w:rFonts w:ascii="宋体" w:hAnsi="宋体" w:cs="宋体"/>
                <w:color w:val="333333"/>
                <w:kern w:val="0"/>
                <w:sz w:val="18"/>
                <w:szCs w:val="18"/>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投标人</w:t>
            </w:r>
            <w:r>
              <w:rPr>
                <w:rFonts w:hint="eastAsia" w:ascii="宋体" w:hAnsi="宋体" w:cs="宋体"/>
                <w:color w:val="000000"/>
                <w:kern w:val="0"/>
                <w:sz w:val="18"/>
                <w:szCs w:val="18"/>
              </w:rPr>
              <w:t>2021年以来在国内三甲医疗机构销售</w:t>
            </w:r>
            <w:r>
              <w:rPr>
                <w:rFonts w:hint="eastAsia" w:ascii="宋体" w:hAnsi="宋体" w:cs="宋体"/>
                <w:b/>
                <w:bCs/>
                <w:color w:val="000000"/>
                <w:kern w:val="0"/>
                <w:sz w:val="18"/>
                <w:szCs w:val="18"/>
              </w:rPr>
              <w:t>响应产品</w:t>
            </w:r>
            <w:r>
              <w:rPr>
                <w:rFonts w:hint="eastAsia" w:ascii="宋体" w:hAnsi="宋体" w:cs="宋体"/>
                <w:color w:val="000000"/>
                <w:kern w:val="0"/>
                <w:sz w:val="18"/>
                <w:szCs w:val="18"/>
              </w:rPr>
              <w:t>的业绩证明</w:t>
            </w:r>
            <w:bookmarkStart w:id="135" w:name="_GoBack"/>
            <w:bookmarkEnd w:id="135"/>
            <w:r>
              <w:rPr>
                <w:rFonts w:hint="eastAsia" w:ascii="宋体" w:hAnsi="宋体" w:cs="宋体"/>
                <w:color w:val="000000"/>
                <w:kern w:val="0"/>
                <w:sz w:val="18"/>
                <w:szCs w:val="18"/>
              </w:rPr>
              <w:t>，每提供1家三甲医疗机构得2分，最多10分。</w:t>
            </w:r>
          </w:p>
        </w:tc>
        <w:tc>
          <w:tcPr>
            <w:tcW w:w="3376" w:type="dxa"/>
            <w:vAlign w:val="center"/>
          </w:tcPr>
          <w:p>
            <w:pPr>
              <w:widowControl/>
              <w:wordWrap w:val="0"/>
              <w:spacing w:line="270" w:lineRule="atLeast"/>
              <w:jc w:val="left"/>
              <w:rPr>
                <w:rFonts w:ascii="宋体" w:hAnsi="宋体" w:cs="宋体"/>
                <w:kern w:val="0"/>
                <w:sz w:val="18"/>
                <w:szCs w:val="18"/>
              </w:rPr>
            </w:pPr>
            <w:r>
              <w:rPr>
                <w:rFonts w:hint="eastAsia" w:ascii="宋体" w:hAnsi="宋体" w:cs="宋体"/>
                <w:kern w:val="0"/>
                <w:sz w:val="18"/>
                <w:szCs w:val="18"/>
              </w:rPr>
              <w:t>需提供以下证明资料如下：</w:t>
            </w:r>
          </w:p>
          <w:p>
            <w:pPr>
              <w:widowControl/>
              <w:wordWrap w:val="0"/>
              <w:spacing w:line="270" w:lineRule="atLeast"/>
              <w:jc w:val="left"/>
              <w:rPr>
                <w:rFonts w:ascii="宋体" w:hAnsi="宋体" w:cs="宋体" w:eastAsiaTheme="minorEastAsia"/>
                <w:kern w:val="0"/>
                <w:sz w:val="18"/>
                <w:szCs w:val="18"/>
              </w:rPr>
            </w:pPr>
            <w:r>
              <w:rPr>
                <w:rFonts w:hint="eastAsia" w:ascii="宋体" w:hAnsi="宋体" w:cs="宋体"/>
                <w:kern w:val="0"/>
                <w:sz w:val="18"/>
                <w:szCs w:val="18"/>
              </w:rPr>
              <w:t>1.合同复印件（说明：合同无产品明细需提供发票复印件，若发票复印件上也无产品明细则需附销货清单）。</w:t>
            </w:r>
          </w:p>
          <w:p>
            <w:pPr>
              <w:widowControl/>
              <w:wordWrap w:val="0"/>
              <w:spacing w:line="270" w:lineRule="atLeast"/>
              <w:jc w:val="left"/>
              <w:rPr>
                <w:rFonts w:ascii="宋体" w:hAnsi="宋体" w:cs="Segoe UI"/>
                <w:color w:val="000000"/>
                <w:kern w:val="0"/>
                <w:sz w:val="18"/>
                <w:szCs w:val="18"/>
              </w:rPr>
            </w:pPr>
            <w:r>
              <w:rPr>
                <w:rFonts w:hint="eastAsia" w:ascii="宋体" w:hAnsi="宋体" w:cs="宋体"/>
                <w:kern w:val="0"/>
                <w:sz w:val="18"/>
                <w:szCs w:val="18"/>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329"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5</w:t>
            </w:r>
          </w:p>
        </w:tc>
        <w:tc>
          <w:tcPr>
            <w:tcW w:w="1348" w:type="dxa"/>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rPr>
            </w:pPr>
            <w:r>
              <w:rPr>
                <w:rFonts w:hint="eastAsia" w:ascii="宋体" w:hAnsi="宋体" w:cs="宋体"/>
                <w:color w:val="000000"/>
                <w:kern w:val="0"/>
                <w:sz w:val="18"/>
                <w:szCs w:val="18"/>
              </w:rPr>
              <w:t>9%</w:t>
            </w:r>
          </w:p>
        </w:tc>
        <w:tc>
          <w:tcPr>
            <w:tcW w:w="649" w:type="dxa"/>
            <w:vAlign w:val="center"/>
          </w:tcPr>
          <w:p>
            <w:pPr>
              <w:widowControl/>
              <w:spacing w:line="320" w:lineRule="atLeast"/>
              <w:ind w:left="-105" w:leftChars="0" w:right="-107" w:rightChars="0"/>
              <w:jc w:val="center"/>
              <w:rPr>
                <w:rFonts w:ascii="宋体" w:hAnsi="宋体" w:cs="Segoe UI"/>
                <w:color w:val="333333"/>
                <w:kern w:val="0"/>
                <w:sz w:val="18"/>
                <w:szCs w:val="18"/>
              </w:rPr>
            </w:pPr>
            <w:r>
              <w:rPr>
                <w:rFonts w:hint="eastAsia" w:ascii="宋体" w:hAnsi="宋体" w:cs="Segoe UI"/>
                <w:color w:val="333333"/>
                <w:kern w:val="0"/>
                <w:sz w:val="18"/>
                <w:szCs w:val="18"/>
              </w:rPr>
              <w:t>9</w:t>
            </w:r>
          </w:p>
        </w:tc>
        <w:tc>
          <w:tcPr>
            <w:tcW w:w="3683" w:type="dxa"/>
            <w:vAlign w:val="center"/>
          </w:tcPr>
          <w:p>
            <w:pPr>
              <w:wordWrap w:val="0"/>
              <w:jc w:val="left"/>
              <w:rPr>
                <w:rFonts w:ascii="宋体" w:hAnsi="宋体" w:cs="Segoe UI"/>
                <w:color w:val="000000"/>
                <w:kern w:val="0"/>
                <w:sz w:val="18"/>
                <w:szCs w:val="18"/>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9分。每缺少一项或提供的方案与本项目无关的扣3分；每有一项存在缺陷或漏洞的，且不利于项目实施的扣1.5分，分值扣完为止。</w:t>
            </w:r>
          </w:p>
        </w:tc>
        <w:tc>
          <w:tcPr>
            <w:tcW w:w="3376" w:type="dxa"/>
            <w:vAlign w:val="center"/>
          </w:tcPr>
          <w:p>
            <w:pPr>
              <w:wordWrap w:val="0"/>
              <w:jc w:val="left"/>
              <w:rPr>
                <w:rFonts w:ascii="宋体" w:hAnsi="宋体" w:cs="Segoe UI"/>
                <w:color w:val="000000"/>
                <w:kern w:val="0"/>
                <w:sz w:val="18"/>
                <w:szCs w:val="18"/>
              </w:rPr>
            </w:pPr>
          </w:p>
        </w:tc>
      </w:tr>
    </w:tbl>
    <w:p>
      <w:pPr>
        <w:rPr>
          <w:rFonts w:hint="eastAsia" w:ascii="宋体" w:hAnsi="宋体" w:eastAsia="宋体" w:cs="Segoe UI"/>
          <w:b/>
          <w:bCs/>
          <w:kern w:val="0"/>
          <w:sz w:val="28"/>
          <w:szCs w:val="28"/>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21163"/>
      <w:bookmarkStart w:id="3" w:name="_Toc21676"/>
      <w:bookmarkStart w:id="4" w:name="_Toc3414"/>
      <w:bookmarkStart w:id="5" w:name="_Toc15614"/>
      <w:bookmarkStart w:id="6" w:name="_Toc923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1076"/>
      <w:bookmarkStart w:id="8" w:name="_Toc14802"/>
      <w:bookmarkStart w:id="9" w:name="_Toc5499"/>
      <w:bookmarkStart w:id="10" w:name="_Toc60"/>
      <w:bookmarkStart w:id="11" w:name="_Toc30275"/>
      <w:bookmarkStart w:id="12" w:name="_Toc30494"/>
      <w:bookmarkStart w:id="13" w:name="_Toc5208"/>
      <w:bookmarkStart w:id="14" w:name="_Toc12490"/>
      <w:bookmarkStart w:id="15" w:name="_Toc10689"/>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26481"/>
      <w:bookmarkStart w:id="17" w:name="_Toc7067"/>
      <w:bookmarkStart w:id="18" w:name="_Toc28103"/>
      <w:bookmarkStart w:id="19" w:name="_Toc9131"/>
      <w:bookmarkStart w:id="20" w:name="_Toc13021"/>
      <w:bookmarkStart w:id="21" w:name="_Toc30724"/>
      <w:bookmarkStart w:id="22" w:name="_Toc3081"/>
      <w:bookmarkStart w:id="23" w:name="_Toc10183"/>
      <w:bookmarkStart w:id="24" w:name="_Toc10948"/>
      <w:bookmarkStart w:id="25" w:name="_Toc32214"/>
      <w:bookmarkStart w:id="26" w:name="_Toc3912"/>
      <w:bookmarkStart w:id="27" w:name="_Toc8717"/>
      <w:bookmarkStart w:id="28" w:name="_Toc18879"/>
      <w:bookmarkStart w:id="29" w:name="_Toc30080"/>
      <w:bookmarkStart w:id="30" w:name="_Toc19115"/>
      <w:bookmarkStart w:id="31" w:name="_Toc3392"/>
      <w:bookmarkStart w:id="32" w:name="_Toc18513"/>
      <w:bookmarkStart w:id="33" w:name="_Toc3447"/>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18259"/>
      <w:bookmarkStart w:id="35" w:name="_Toc23645"/>
      <w:bookmarkStart w:id="36" w:name="_Toc22795"/>
      <w:bookmarkStart w:id="37" w:name="_Toc7249"/>
      <w:bookmarkStart w:id="38" w:name="_Toc9042"/>
      <w:bookmarkStart w:id="39" w:name="_Toc15196"/>
      <w:bookmarkStart w:id="40" w:name="_Toc30649"/>
      <w:bookmarkStart w:id="41" w:name="_Toc30920"/>
      <w:bookmarkStart w:id="42" w:name="_Toc10142"/>
      <w:bookmarkStart w:id="43" w:name="_Toc23557"/>
      <w:bookmarkStart w:id="44" w:name="_Toc14004"/>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1988"/>
      <w:bookmarkStart w:id="46" w:name="_Toc24117"/>
      <w:bookmarkStart w:id="47" w:name="_Toc4775"/>
      <w:bookmarkStart w:id="48" w:name="_Toc3004"/>
      <w:bookmarkStart w:id="49" w:name="_Toc25516"/>
      <w:bookmarkStart w:id="50" w:name="_Toc26548"/>
      <w:bookmarkStart w:id="51" w:name="_Toc30083"/>
      <w:bookmarkStart w:id="52" w:name="_Toc19600"/>
      <w:bookmarkStart w:id="53" w:name="_Toc3534"/>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1982"/>
      <w:bookmarkStart w:id="55" w:name="_Toc12333"/>
      <w:bookmarkStart w:id="56" w:name="_Toc27376"/>
      <w:bookmarkStart w:id="57" w:name="_Toc3494"/>
      <w:bookmarkStart w:id="58" w:name="_Toc16666"/>
      <w:bookmarkStart w:id="59" w:name="_Toc16764"/>
      <w:bookmarkStart w:id="60" w:name="_Toc22198"/>
      <w:bookmarkStart w:id="61" w:name="_Toc14887"/>
      <w:bookmarkStart w:id="62" w:name="_Toc23192"/>
      <w:bookmarkStart w:id="63" w:name="_Toc32166"/>
      <w:bookmarkStart w:id="64" w:name="_Toc691"/>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11914"/>
      <w:bookmarkStart w:id="66" w:name="_Toc3943"/>
      <w:bookmarkStart w:id="67" w:name="_Toc14269"/>
      <w:bookmarkStart w:id="68" w:name="_Toc22606"/>
      <w:bookmarkStart w:id="69" w:name="_Toc1371"/>
      <w:bookmarkStart w:id="70" w:name="_Toc4577"/>
      <w:bookmarkStart w:id="71" w:name="_Toc9263"/>
      <w:bookmarkStart w:id="72" w:name="_Toc5412"/>
      <w:bookmarkStart w:id="73" w:name="_Toc10013"/>
      <w:bookmarkStart w:id="74" w:name="_Toc25068"/>
      <w:bookmarkStart w:id="75" w:name="_Toc31581"/>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31890"/>
      <w:bookmarkStart w:id="77" w:name="_Toc2937"/>
      <w:bookmarkStart w:id="78" w:name="_Toc10600"/>
      <w:bookmarkStart w:id="79" w:name="_Toc13677"/>
      <w:bookmarkStart w:id="80" w:name="_Toc13267"/>
      <w:bookmarkStart w:id="81" w:name="_Toc11489"/>
      <w:bookmarkStart w:id="82" w:name="_Toc18935"/>
      <w:bookmarkStart w:id="83" w:name="_Toc29190"/>
      <w:bookmarkStart w:id="84" w:name="_Toc2316"/>
      <w:bookmarkStart w:id="85" w:name="_Toc17108"/>
      <w:bookmarkStart w:id="86" w:name="_Toc3908"/>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31638"/>
      <w:bookmarkStart w:id="88" w:name="_Toc15916"/>
      <w:bookmarkStart w:id="89" w:name="_Toc24122"/>
      <w:bookmarkStart w:id="90" w:name="_Toc32365"/>
      <w:bookmarkStart w:id="91" w:name="_Toc14252"/>
      <w:bookmarkStart w:id="92" w:name="_Toc12088"/>
      <w:bookmarkStart w:id="93" w:name="_Toc21351"/>
      <w:bookmarkStart w:id="94" w:name="_Toc1313"/>
      <w:bookmarkStart w:id="95" w:name="_Toc26756"/>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9589"/>
      <w:bookmarkStart w:id="98" w:name="_Toc27948"/>
      <w:bookmarkStart w:id="99" w:name="_Toc22760"/>
      <w:bookmarkStart w:id="100" w:name="_Toc9398"/>
      <w:bookmarkStart w:id="101" w:name="_Toc23212"/>
      <w:bookmarkStart w:id="102" w:name="_Toc11278"/>
      <w:bookmarkStart w:id="103" w:name="_Toc15083"/>
      <w:bookmarkStart w:id="104" w:name="_Toc29215"/>
      <w:bookmarkStart w:id="105" w:name="_Toc10583"/>
      <w:bookmarkStart w:id="106" w:name="_Toc27985"/>
      <w:bookmarkStart w:id="107" w:name="_Toc18046"/>
      <w:bookmarkStart w:id="108" w:name="_Toc15894"/>
      <w:bookmarkStart w:id="109" w:name="_Toc26609"/>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27767"/>
      <w:bookmarkStart w:id="111" w:name="_Toc24655"/>
      <w:bookmarkStart w:id="112" w:name="_Toc8940"/>
      <w:bookmarkStart w:id="113" w:name="_Toc29648"/>
      <w:bookmarkStart w:id="114" w:name="_Toc24107"/>
      <w:bookmarkStart w:id="115" w:name="_Toc4116"/>
      <w:bookmarkStart w:id="116" w:name="_Toc17204"/>
      <w:bookmarkStart w:id="117" w:name="_Toc24671"/>
      <w:bookmarkStart w:id="118" w:name="_Toc757"/>
      <w:bookmarkStart w:id="119" w:name="_Toc17741"/>
      <w:bookmarkStart w:id="120" w:name="_Toc14546"/>
      <w:bookmarkStart w:id="121" w:name="_Toc8083"/>
      <w:bookmarkStart w:id="122" w:name="_Toc8348"/>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20745"/>
      <w:bookmarkStart w:id="124" w:name="_Toc2003"/>
      <w:bookmarkStart w:id="125" w:name="_Toc10950"/>
      <w:bookmarkStart w:id="126" w:name="_Toc22243"/>
      <w:bookmarkStart w:id="127" w:name="_Toc5840"/>
      <w:bookmarkStart w:id="128" w:name="_Toc10308"/>
      <w:bookmarkStart w:id="129" w:name="_Toc12682"/>
      <w:bookmarkStart w:id="130" w:name="_Toc14781"/>
      <w:bookmarkStart w:id="131" w:name="_Toc15917"/>
      <w:bookmarkStart w:id="132" w:name="_Toc10945"/>
      <w:bookmarkStart w:id="133" w:name="_Toc8524"/>
      <w:bookmarkStart w:id="134" w:name="_Toc24280"/>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p>
      <w:pPr>
        <w:pStyle w:val="2"/>
        <w:spacing w:after="0" w:line="120" w:lineRule="auto"/>
        <w:ind w:firstLine="480" w:firstLineChars="200"/>
        <w:rPr>
          <w:rFonts w:hint="eastAsia" w:ascii="仿宋_GB2312" w:hAnsi="Segoe UI" w:eastAsia="仿宋_GB2312" w:cs="Segoe UI"/>
          <w:color w:val="000000" w:themeColor="text1"/>
          <w:kern w:val="0"/>
          <w:sz w:val="24"/>
          <w:szCs w:val="24"/>
        </w:rPr>
      </w:pPr>
    </w:p>
    <w:p>
      <w:pPr>
        <w:pStyle w:val="2"/>
        <w:spacing w:after="0" w:line="120" w:lineRule="auto"/>
        <w:ind w:firstLine="480" w:firstLineChars="200"/>
        <w:rPr>
          <w:rFonts w:hint="eastAsia" w:ascii="仿宋_GB2312" w:hAnsi="Segoe UI" w:eastAsia="仿宋_GB2312" w:cs="Segoe UI"/>
          <w:color w:val="000000" w:themeColor="text1"/>
          <w:kern w:val="0"/>
          <w:sz w:val="24"/>
          <w:szCs w:val="24"/>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BC51"/>
    <w:multiLevelType w:val="singleLevel"/>
    <w:tmpl w:val="0723BC51"/>
    <w:lvl w:ilvl="0" w:tentative="0">
      <w:start w:val="1"/>
      <w:numFmt w:val="decimal"/>
      <w:lvlText w:val="%1."/>
      <w:lvlJc w:val="left"/>
      <w:pPr>
        <w:tabs>
          <w:tab w:val="left" w:pos="312"/>
        </w:tabs>
      </w:pPr>
    </w:lvl>
  </w:abstractNum>
  <w:abstractNum w:abstractNumId="1">
    <w:nsid w:val="13A6DE35"/>
    <w:multiLevelType w:val="singleLevel"/>
    <w:tmpl w:val="13A6DE35"/>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53A5330"/>
    <w:rsid w:val="07953CAB"/>
    <w:rsid w:val="07B925A7"/>
    <w:rsid w:val="0A99264E"/>
    <w:rsid w:val="0BF815CE"/>
    <w:rsid w:val="0DBB7E7D"/>
    <w:rsid w:val="0E911C5D"/>
    <w:rsid w:val="10954EC2"/>
    <w:rsid w:val="12A81059"/>
    <w:rsid w:val="13485B4A"/>
    <w:rsid w:val="14456F80"/>
    <w:rsid w:val="195D2073"/>
    <w:rsid w:val="1A37043E"/>
    <w:rsid w:val="1C462F83"/>
    <w:rsid w:val="228C2840"/>
    <w:rsid w:val="2306229A"/>
    <w:rsid w:val="26D9225C"/>
    <w:rsid w:val="272816FC"/>
    <w:rsid w:val="28203DA9"/>
    <w:rsid w:val="2E811DD5"/>
    <w:rsid w:val="357C4381"/>
    <w:rsid w:val="364F4E7F"/>
    <w:rsid w:val="365344A5"/>
    <w:rsid w:val="38BB478A"/>
    <w:rsid w:val="396510AC"/>
    <w:rsid w:val="3BA27AC6"/>
    <w:rsid w:val="3ED3727D"/>
    <w:rsid w:val="405F3E1B"/>
    <w:rsid w:val="41EE0E8D"/>
    <w:rsid w:val="4669398D"/>
    <w:rsid w:val="48983A5D"/>
    <w:rsid w:val="4AE36A9A"/>
    <w:rsid w:val="4B7A520A"/>
    <w:rsid w:val="4C5E41EC"/>
    <w:rsid w:val="4EE10A0C"/>
    <w:rsid w:val="51CB3FD0"/>
    <w:rsid w:val="53914C7E"/>
    <w:rsid w:val="5536063D"/>
    <w:rsid w:val="55F211D3"/>
    <w:rsid w:val="56183BA8"/>
    <w:rsid w:val="577B25E6"/>
    <w:rsid w:val="5C452678"/>
    <w:rsid w:val="5D2D064D"/>
    <w:rsid w:val="5DC03791"/>
    <w:rsid w:val="5FEC0FA4"/>
    <w:rsid w:val="60795DD8"/>
    <w:rsid w:val="61DB5EE7"/>
    <w:rsid w:val="62FA0171"/>
    <w:rsid w:val="637366D0"/>
    <w:rsid w:val="63E72E68"/>
    <w:rsid w:val="64ED5044"/>
    <w:rsid w:val="65C660EF"/>
    <w:rsid w:val="65DA011F"/>
    <w:rsid w:val="66D20681"/>
    <w:rsid w:val="672843F4"/>
    <w:rsid w:val="6A052BEC"/>
    <w:rsid w:val="6A1B1B87"/>
    <w:rsid w:val="6A38583D"/>
    <w:rsid w:val="6C0F1984"/>
    <w:rsid w:val="6CF82393"/>
    <w:rsid w:val="701306BF"/>
    <w:rsid w:val="710D63F2"/>
    <w:rsid w:val="716610EA"/>
    <w:rsid w:val="71D57369"/>
    <w:rsid w:val="75233D75"/>
    <w:rsid w:val="77490A08"/>
    <w:rsid w:val="78BA1DAC"/>
    <w:rsid w:val="799A6260"/>
    <w:rsid w:val="7C560E66"/>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2024-05-23T08:13:04Z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