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采购项目编号：SCFY-YXZB202405-003（比）</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28</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2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6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352"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93"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99"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7"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395"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29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52" w:type="pct"/>
            <w:vMerge w:val="continue"/>
            <w:noWrap w:val="0"/>
            <w:vAlign w:val="center"/>
          </w:tcPr>
          <w:p>
            <w:pPr>
              <w:spacing w:line="420" w:lineRule="exact"/>
              <w:jc w:val="center"/>
              <w:rPr>
                <w:rFonts w:hint="eastAsia" w:cs="宋体"/>
                <w:color w:val="000000"/>
                <w:kern w:val="0"/>
              </w:rPr>
            </w:pPr>
          </w:p>
        </w:tc>
        <w:tc>
          <w:tcPr>
            <w:tcW w:w="600" w:type="dxa"/>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rPr>
              <w:t>1</w:t>
            </w:r>
          </w:p>
        </w:tc>
        <w:tc>
          <w:tcPr>
            <w:tcW w:w="1020" w:type="dxa"/>
            <w:noWrap w:val="0"/>
            <w:vAlign w:val="center"/>
          </w:tcPr>
          <w:p>
            <w:pPr>
              <w:spacing w:line="276" w:lineRule="auto"/>
              <w:jc w:val="left"/>
              <w:rPr>
                <w:rFonts w:hint="default" w:ascii="宋体" w:hAnsi="宋体" w:eastAsia="宋体" w:cs="宋体"/>
                <w:color w:val="000000"/>
                <w:kern w:val="2"/>
                <w:sz w:val="21"/>
                <w:szCs w:val="21"/>
                <w:lang w:val="en-US" w:eastAsia="zh-CN" w:bidi="ar-SA"/>
              </w:rPr>
            </w:pPr>
            <w:r>
              <w:rPr>
                <w:rFonts w:hint="eastAsia"/>
              </w:rPr>
              <w:t>神经监护气管插管</w:t>
            </w:r>
          </w:p>
        </w:tc>
        <w:tc>
          <w:tcPr>
            <w:tcW w:w="996" w:type="dxa"/>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rPr>
              <w:t>3500元</w:t>
            </w:r>
          </w:p>
        </w:tc>
        <w:tc>
          <w:tcPr>
            <w:tcW w:w="808" w:type="dxa"/>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rPr>
              <w:t>80套</w:t>
            </w:r>
          </w:p>
        </w:tc>
        <w:tc>
          <w:tcPr>
            <w:tcW w:w="6069" w:type="dxa"/>
            <w:noWrap w:val="0"/>
            <w:vAlign w:val="top"/>
          </w:tcPr>
          <w:p>
            <w:pPr>
              <w:pStyle w:val="2"/>
              <w:rPr>
                <w:rFonts w:hint="eastAsia"/>
                <w:lang w:eastAsia="zh-CN"/>
              </w:rPr>
            </w:pPr>
            <w:r>
              <w:rPr>
                <w:rFonts w:hint="eastAsia"/>
              </w:rPr>
              <w:t>▲1. 适配医院现有设备肌电诱发电位检测仪（品牌：湖南安白，型号：BN-JCY-100）</w:t>
            </w:r>
            <w:r>
              <w:rPr>
                <w:rFonts w:hint="eastAsia"/>
                <w:lang w:eastAsia="zh-CN"/>
              </w:rPr>
              <w:t>。</w:t>
            </w:r>
          </w:p>
          <w:p>
            <w:pPr>
              <w:pStyle w:val="2"/>
            </w:pPr>
            <w:r>
              <w:rPr>
                <w:rFonts w:hint="eastAsia"/>
              </w:rPr>
              <w:t>▲</w:t>
            </w:r>
            <w:r>
              <w:rPr>
                <w:rFonts w:hint="eastAsia"/>
                <w:lang w:val="en-US" w:eastAsia="zh-CN"/>
              </w:rPr>
              <w:t>2. 产品组成：</w:t>
            </w:r>
            <w:r>
              <w:rPr>
                <w:rFonts w:hint="eastAsia"/>
              </w:rPr>
              <w:t>包括神经监护气管插管及神经刺激电极。（可以统一报价或分开报价）</w:t>
            </w:r>
          </w:p>
          <w:p>
            <w:pPr>
              <w:widowControl/>
              <w:textAlignment w:val="center"/>
              <w:rPr>
                <w:rFonts w:hint="eastAsia"/>
              </w:rPr>
            </w:pPr>
            <w:r>
              <w:rPr>
                <w:rFonts w:hint="eastAsia"/>
              </w:rPr>
              <w:t>*</w:t>
            </w:r>
            <w:r>
              <w:rPr>
                <w:rFonts w:hint="eastAsia"/>
                <w:lang w:val="en-US" w:eastAsia="zh-CN"/>
              </w:rPr>
              <w:t xml:space="preserve"> 3</w:t>
            </w:r>
            <w:r>
              <w:rPr>
                <w:rFonts w:hint="eastAsia"/>
              </w:rPr>
              <w:t>.</w:t>
            </w:r>
            <w:r>
              <w:rPr>
                <w:rFonts w:hint="eastAsia"/>
                <w:lang w:val="en-US" w:eastAsia="zh-CN"/>
              </w:rPr>
              <w:t xml:space="preserve"> </w:t>
            </w:r>
            <w:r>
              <w:rPr>
                <w:rFonts w:hint="eastAsia"/>
              </w:rPr>
              <w:t>需包含气管插管内径5.0mm、5.5mm、6.0mm、6.5mm、7.0mm、8.0mm、8.5mm、9.0mm的不同规格，适应从儿童，成人，及严重肥胖患者的不同需求。</w:t>
            </w:r>
          </w:p>
          <w:p>
            <w:pPr>
              <w:widowControl/>
              <w:numPr>
                <w:ilvl w:val="0"/>
                <w:numId w:val="1"/>
              </w:numPr>
              <w:textAlignment w:val="center"/>
              <w:rPr>
                <w:rFonts w:hint="eastAsia"/>
              </w:rPr>
            </w:pPr>
            <w:r>
              <w:rPr>
                <w:rFonts w:hint="eastAsia"/>
              </w:rPr>
              <w:t>需配有一根气管插管、两根皮下针。</w:t>
            </w:r>
          </w:p>
          <w:p>
            <w:pPr>
              <w:widowControl/>
              <w:numPr>
                <w:ilvl w:val="0"/>
                <w:numId w:val="1"/>
              </w:numPr>
              <w:ind w:left="0" w:leftChars="0" w:firstLine="0" w:firstLineChars="0"/>
              <w:textAlignment w:val="center"/>
              <w:rPr>
                <w:rFonts w:hint="eastAsia"/>
              </w:rPr>
            </w:pPr>
            <w:r>
              <w:rPr>
                <w:rFonts w:hint="eastAsia"/>
              </w:rPr>
              <w:t>四根接触电极线具有不同颜色，以示区别，方便安装。</w:t>
            </w:r>
          </w:p>
          <w:p>
            <w:pPr>
              <w:widowControl/>
              <w:textAlignment w:val="center"/>
              <w:rPr>
                <w:rFonts w:hint="eastAsia"/>
              </w:rPr>
            </w:pPr>
            <w:r>
              <w:rPr>
                <w:rFonts w:hint="eastAsia"/>
              </w:rPr>
              <w:t>*</w:t>
            </w:r>
            <w:r>
              <w:rPr>
                <w:rFonts w:hint="eastAsia"/>
                <w:lang w:val="en-US" w:eastAsia="zh-CN"/>
              </w:rPr>
              <w:t xml:space="preserve"> 6</w:t>
            </w:r>
            <w:r>
              <w:rPr>
                <w:rFonts w:hint="eastAsia"/>
              </w:rPr>
              <w:t>.</w:t>
            </w:r>
            <w:r>
              <w:rPr>
                <w:rFonts w:hint="eastAsia"/>
                <w:lang w:val="en-US" w:eastAsia="zh-CN"/>
              </w:rPr>
              <w:t xml:space="preserve"> </w:t>
            </w:r>
            <w:r>
              <w:rPr>
                <w:rFonts w:hint="eastAsia"/>
              </w:rPr>
              <w:t>插管管身需PVC材质，无痕涂层，以保证插管顺应性及较大接触面，保证信号稳定。</w:t>
            </w:r>
          </w:p>
          <w:p>
            <w:pPr>
              <w:widowControl/>
              <w:numPr>
                <w:ilvl w:val="0"/>
                <w:numId w:val="0"/>
              </w:numPr>
              <w:ind w:leftChars="0"/>
              <w:textAlignment w:val="center"/>
              <w:rPr>
                <w:rFonts w:hint="eastAsia"/>
              </w:rPr>
            </w:pPr>
            <w:r>
              <w:rPr>
                <w:rFonts w:hint="eastAsia"/>
                <w:lang w:val="en-US" w:eastAsia="zh-CN"/>
              </w:rPr>
              <w:t>7.</w:t>
            </w:r>
            <w:r>
              <w:rPr>
                <w:rFonts w:hint="eastAsia"/>
              </w:rPr>
              <w:t>不锈钢电极丝应镶嵌于插管管身内，保证插管表面光滑。</w:t>
            </w:r>
          </w:p>
          <w:p>
            <w:pPr>
              <w:widowControl/>
              <w:textAlignment w:val="center"/>
              <w:rPr>
                <w:rFonts w:hint="default"/>
                <w:lang w:val="en-US" w:eastAsia="zh-CN"/>
              </w:rPr>
            </w:pPr>
            <w:r>
              <w:rPr>
                <w:rFonts w:hint="eastAsia"/>
                <w:lang w:val="en-US" w:eastAsia="zh-CN"/>
              </w:rPr>
              <w:t>8.环氧乙烷灭菌，一次性使用</w:t>
            </w:r>
            <w:r>
              <w:rPr>
                <w:rFonts w:hint="eastAsia"/>
              </w:rPr>
              <w:t>。</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pPr>
      <w:r>
        <w:rPr>
          <w:rFonts w:hint="eastAsia"/>
        </w:rPr>
        <w:t>▲1.供应商投标产品若为Ⅱ、Ⅲ类医疗器械和具有医疗器械注册证或备案凭证的体外诊断试剂，则必须为四川省药械集中采购及医药价格监管平台挂网公示产品,并提供挂网商品代码（</w:t>
      </w:r>
      <w:r>
        <w:rPr>
          <w:rFonts w:hint="eastAsia"/>
          <w:b/>
          <w:bCs/>
        </w:rPr>
        <w:t>已经挂网的需要提供集采平台挂网截图</w:t>
      </w:r>
      <w:r>
        <w:rPr>
          <w:rFonts w:hint="eastAsia"/>
        </w:rPr>
        <w:t>）。</w:t>
      </w:r>
    </w:p>
    <w:p>
      <w:pPr>
        <w:pStyle w:val="2"/>
      </w:pPr>
      <w:r>
        <w:rPr>
          <w:rFonts w:hint="eastAsia"/>
        </w:rPr>
        <w:t>▲2.供货期限：3年，采购数量以实际使用量为准。</w:t>
      </w:r>
    </w:p>
    <w:p>
      <w:pPr>
        <w:widowControl/>
        <w:shd w:val="clear"/>
        <w:spacing w:line="360" w:lineRule="auto"/>
        <w:jc w:val="left"/>
        <w:rPr>
          <w:rFonts w:hint="eastAsia"/>
        </w:rPr>
      </w:pPr>
      <w:r>
        <w:rPr>
          <w:rFonts w:hint="eastAsia"/>
        </w:rPr>
        <w:t>▲3.合同结算：本项目的“预估年度用量”、 供应商的“投标总价”仅做为报价评审依据，最终根据实际需求进行相应调整，结算以实际发生量乘以供应商挂网单价（未挂网按投标单价）结算。</w:t>
      </w:r>
    </w:p>
    <w:p>
      <w:pPr>
        <w:pStyle w:val="2"/>
        <w:rPr>
          <w:rFonts w:hint="eastAsia"/>
        </w:rPr>
      </w:pP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2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488"/>
        <w:gridCol w:w="636"/>
        <w:gridCol w:w="4219"/>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10" w:type="pct"/>
            <w:vAlign w:val="center"/>
          </w:tcPr>
          <w:p>
            <w:pPr>
              <w:widowControl/>
              <w:wordWrap w:val="0"/>
              <w:spacing w:line="240" w:lineRule="atLeast"/>
              <w:jc w:val="center"/>
              <w:rPr>
                <w:rFonts w:ascii="宋体" w:hAnsi="宋体"/>
              </w:rPr>
            </w:pPr>
            <w:r>
              <w:rPr>
                <w:rFonts w:hint="eastAsia" w:ascii="宋体" w:hAnsi="宋体" w:cs="Segoe UI"/>
                <w:b/>
                <w:color w:val="333333"/>
                <w:kern w:val="0"/>
                <w:sz w:val="18"/>
                <w:szCs w:val="18"/>
              </w:rPr>
              <w:t>序号</w:t>
            </w:r>
          </w:p>
        </w:tc>
        <w:tc>
          <w:tcPr>
            <w:tcW w:w="717" w:type="pct"/>
            <w:vAlign w:val="center"/>
          </w:tcPr>
          <w:p>
            <w:pPr>
              <w:widowControl/>
              <w:spacing w:line="240" w:lineRule="atLeast"/>
              <w:jc w:val="center"/>
            </w:pPr>
            <w:r>
              <w:rPr>
                <w:rFonts w:hint="eastAsia" w:ascii="宋体" w:hAnsi="宋体" w:cs="Segoe UI"/>
                <w:b/>
                <w:color w:val="333333"/>
                <w:kern w:val="0"/>
                <w:sz w:val="18"/>
                <w:szCs w:val="18"/>
              </w:rPr>
              <w:t>评分因素</w:t>
            </w:r>
          </w:p>
        </w:tc>
        <w:tc>
          <w:tcPr>
            <w:tcW w:w="306" w:type="pct"/>
            <w:vAlign w:val="center"/>
          </w:tcPr>
          <w:p>
            <w:pPr>
              <w:widowControl/>
              <w:wordWrap w:val="0"/>
              <w:spacing w:line="240" w:lineRule="atLeast"/>
              <w:jc w:val="center"/>
              <w:rPr>
                <w:rFonts w:ascii="宋体" w:hAnsi="宋体" w:cs="宋体"/>
                <w:color w:val="000000"/>
              </w:rPr>
            </w:pPr>
            <w:r>
              <w:rPr>
                <w:rFonts w:hint="eastAsia" w:ascii="宋体" w:hAnsi="宋体" w:cs="Segoe UI"/>
                <w:b/>
                <w:color w:val="333333"/>
                <w:kern w:val="0"/>
                <w:sz w:val="18"/>
                <w:szCs w:val="18"/>
              </w:rPr>
              <w:t>分值</w:t>
            </w:r>
          </w:p>
        </w:tc>
        <w:tc>
          <w:tcPr>
            <w:tcW w:w="2035" w:type="pct"/>
            <w:vAlign w:val="center"/>
          </w:tcPr>
          <w:p>
            <w:pPr>
              <w:widowControl/>
              <w:wordWrap w:val="0"/>
              <w:spacing w:line="240" w:lineRule="atLeast"/>
              <w:jc w:val="center"/>
              <w:rPr>
                <w:rFonts w:ascii="宋体" w:hAnsi="宋体" w:cs="宋体"/>
                <w:color w:val="000000"/>
              </w:rPr>
            </w:pPr>
            <w:r>
              <w:rPr>
                <w:rFonts w:hint="eastAsia" w:ascii="宋体" w:hAnsi="宋体" w:cs="Segoe UI"/>
                <w:b/>
                <w:color w:val="333333"/>
                <w:kern w:val="0"/>
                <w:sz w:val="18"/>
                <w:szCs w:val="18"/>
              </w:rPr>
              <w:t>评分标准</w:t>
            </w:r>
          </w:p>
        </w:tc>
        <w:tc>
          <w:tcPr>
            <w:tcW w:w="1628" w:type="pct"/>
            <w:vAlign w:val="center"/>
          </w:tcPr>
          <w:p>
            <w:pPr>
              <w:widowControl/>
              <w:wordWrap w:val="0"/>
              <w:spacing w:line="240" w:lineRule="atLeast"/>
              <w:jc w:val="cente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10" w:type="pct"/>
            <w:vAlign w:val="center"/>
          </w:tcPr>
          <w:p>
            <w:pPr>
              <w:widowControl/>
              <w:wordWrap w:val="0"/>
              <w:spacing w:line="270" w:lineRule="atLeast"/>
              <w:jc w:val="center"/>
              <w:rPr>
                <w:rFonts w:ascii="宋体" w:hAnsi="宋体"/>
              </w:rPr>
            </w:pPr>
            <w:r>
              <w:rPr>
                <w:rFonts w:hint="eastAsia" w:ascii="宋体" w:hAnsi="宋体" w:cs="Segoe UI"/>
                <w:color w:val="000000"/>
                <w:kern w:val="0"/>
                <w:sz w:val="18"/>
                <w:szCs w:val="18"/>
              </w:rPr>
              <w:t>1</w:t>
            </w:r>
          </w:p>
        </w:tc>
        <w:tc>
          <w:tcPr>
            <w:tcW w:w="717" w:type="pct"/>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pPr>
            <w:r>
              <w:rPr>
                <w:rFonts w:hint="eastAsia" w:ascii="宋体" w:hAnsi="宋体" w:cs="Segoe UI"/>
                <w:color w:val="000000"/>
                <w:kern w:val="0"/>
                <w:sz w:val="18"/>
                <w:szCs w:val="18"/>
              </w:rPr>
              <w:t>30%</w:t>
            </w:r>
          </w:p>
        </w:tc>
        <w:tc>
          <w:tcPr>
            <w:tcW w:w="306" w:type="pct"/>
            <w:vAlign w:val="center"/>
          </w:tcPr>
          <w:p>
            <w:pPr>
              <w:widowControl/>
              <w:wordWrap w:val="0"/>
              <w:spacing w:line="270" w:lineRule="atLeast"/>
              <w:jc w:val="center"/>
              <w:rPr>
                <w:rFonts w:ascii="宋体" w:hAnsi="宋体" w:cs="宋体"/>
                <w:color w:val="000000"/>
              </w:rPr>
            </w:pPr>
            <w:r>
              <w:rPr>
                <w:rFonts w:hint="eastAsia" w:ascii="宋体" w:hAnsi="宋体" w:cs="Segoe UI"/>
                <w:color w:val="000000"/>
                <w:kern w:val="0"/>
                <w:sz w:val="18"/>
                <w:szCs w:val="18"/>
              </w:rPr>
              <w:t>30</w:t>
            </w:r>
          </w:p>
        </w:tc>
        <w:tc>
          <w:tcPr>
            <w:tcW w:w="2035" w:type="pct"/>
            <w:vAlign w:val="center"/>
          </w:tcPr>
          <w:p>
            <w:pPr>
              <w:widowControl/>
              <w:wordWrap w:val="0"/>
              <w:spacing w:line="270" w:lineRule="atLeast"/>
              <w:jc w:val="left"/>
              <w:rPr>
                <w:rFonts w:ascii="宋体" w:hAnsi="宋体" w:cs="宋体"/>
                <w:color w:val="000000"/>
              </w:rPr>
            </w:pPr>
            <w:r>
              <w:rPr>
                <w:rFonts w:hint="eastAsia" w:ascii="宋体" w:hAnsi="宋体" w:cs="Segoe UI"/>
                <w:kern w:val="0"/>
                <w:sz w:val="18"/>
                <w:szCs w:val="18"/>
              </w:rPr>
              <w:t>投标耗材（试剂）满足招标文件要求且以</w:t>
            </w:r>
            <w:r>
              <w:rPr>
                <w:rFonts w:hint="eastAsia" w:ascii="宋体" w:hAnsi="宋体" w:cs="Segoe UI"/>
                <w:b/>
                <w:bCs/>
                <w:kern w:val="0"/>
                <w:sz w:val="18"/>
                <w:szCs w:val="18"/>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，其价格分为30分。其他投标人的价格分统一按照以下公式计算：价格分=(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／投标总价)×30</w:t>
            </w:r>
          </w:p>
        </w:tc>
        <w:tc>
          <w:tcPr>
            <w:tcW w:w="1628" w:type="pct"/>
            <w:vAlign w:val="center"/>
          </w:tcPr>
          <w:p>
            <w:pPr>
              <w:widowControl/>
              <w:numPr>
                <w:ilvl w:val="0"/>
                <w:numId w:val="2"/>
              </w:numPr>
              <w:wordWrap w:val="0"/>
              <w:spacing w:line="270" w:lineRule="atLeast"/>
              <w:jc w:val="left"/>
              <w:rPr>
                <w:rFonts w:ascii="宋体" w:hAnsi="宋体" w:cs="Segoe UI"/>
                <w:kern w:val="0"/>
                <w:sz w:val="18"/>
                <w:szCs w:val="18"/>
              </w:rPr>
            </w:pPr>
            <w:r>
              <w:rPr>
                <w:rFonts w:hint="eastAsia" w:ascii="宋体" w:hAnsi="宋体" w:cs="Segoe UI"/>
                <w:b/>
                <w:kern w:val="0"/>
                <w:sz w:val="18"/>
                <w:szCs w:val="18"/>
              </w:rPr>
              <w:t>投标总价</w:t>
            </w:r>
            <w:r>
              <w:rPr>
                <w:rFonts w:hint="eastAsia" w:ascii="宋体" w:hAnsi="宋体" w:cs="Segoe UI"/>
                <w:kern w:val="0"/>
                <w:sz w:val="18"/>
                <w:szCs w:val="18"/>
              </w:rPr>
              <w:t>=单价*预估年度用量之和;</w:t>
            </w:r>
          </w:p>
          <w:p>
            <w:pPr>
              <w:widowControl/>
              <w:numPr>
                <w:ilvl w:val="0"/>
                <w:numId w:val="2"/>
              </w:numPr>
              <w:wordWrap w:val="0"/>
              <w:spacing w:line="270" w:lineRule="atLeast"/>
              <w:jc w:val="left"/>
            </w:pPr>
            <w:r>
              <w:rPr>
                <w:rFonts w:hint="eastAsia" w:ascii="宋体" w:hAnsi="宋体" w:cs="宋体"/>
                <w:kern w:val="0"/>
                <w:sz w:val="18"/>
                <w:szCs w:val="18"/>
              </w:rPr>
              <w:t>产品有细分规格且报价不同，则按照同品类平均价计算单价。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0" w:hRule="atLeast"/>
          <w:jc w:val="center"/>
        </w:trPr>
        <w:tc>
          <w:tcPr>
            <w:tcW w:w="310" w:type="pct"/>
            <w:vAlign w:val="center"/>
          </w:tcPr>
          <w:p>
            <w:pPr>
              <w:widowControl/>
              <w:wordWrap w:val="0"/>
              <w:spacing w:line="270" w:lineRule="atLeast"/>
              <w:jc w:val="center"/>
              <w:rPr>
                <w:rFonts w:ascii="宋体" w:hAnsi="宋体"/>
              </w:rPr>
            </w:pPr>
            <w:r>
              <w:rPr>
                <w:rFonts w:hint="eastAsia" w:ascii="宋体" w:hAnsi="宋体" w:cs="Segoe UI"/>
                <w:color w:val="000000"/>
                <w:kern w:val="0"/>
                <w:sz w:val="18"/>
                <w:szCs w:val="18"/>
              </w:rPr>
              <w:t>2</w:t>
            </w:r>
          </w:p>
        </w:tc>
        <w:tc>
          <w:tcPr>
            <w:tcW w:w="717" w:type="pct"/>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pPr>
            <w:r>
              <w:rPr>
                <w:rFonts w:hint="eastAsia" w:ascii="宋体" w:hAnsi="宋体" w:cs="Segoe UI"/>
                <w:color w:val="000000"/>
                <w:kern w:val="0"/>
                <w:sz w:val="18"/>
                <w:szCs w:val="18"/>
              </w:rPr>
              <w:t>4</w:t>
            </w:r>
            <w:r>
              <w:rPr>
                <w:rFonts w:hint="eastAsia" w:ascii="宋体" w:hAnsi="宋体" w:cs="Segoe UI"/>
                <w:color w:val="000000"/>
                <w:kern w:val="0"/>
                <w:sz w:val="18"/>
                <w:szCs w:val="18"/>
                <w:lang w:val="en-US" w:eastAsia="zh-CN"/>
              </w:rPr>
              <w:t>2</w:t>
            </w:r>
            <w:r>
              <w:rPr>
                <w:rFonts w:hint="eastAsia" w:ascii="宋体" w:hAnsi="宋体" w:cs="Segoe UI"/>
                <w:color w:val="000000"/>
                <w:kern w:val="0"/>
                <w:sz w:val="18"/>
                <w:szCs w:val="18"/>
              </w:rPr>
              <w:t>%</w:t>
            </w:r>
          </w:p>
        </w:tc>
        <w:tc>
          <w:tcPr>
            <w:tcW w:w="306" w:type="pct"/>
            <w:vAlign w:val="center"/>
          </w:tcPr>
          <w:p>
            <w:pPr>
              <w:widowControl/>
              <w:wordWrap w:val="0"/>
              <w:spacing w:line="270" w:lineRule="atLeast"/>
              <w:jc w:val="center"/>
              <w:rPr>
                <w:rFonts w:hint="eastAsia" w:ascii="宋体" w:hAnsi="宋体" w:eastAsia="宋体" w:cs="宋体"/>
                <w:color w:val="000000"/>
                <w:sz w:val="18"/>
                <w:szCs w:val="18"/>
                <w:lang w:eastAsia="zh-CN"/>
              </w:rPr>
            </w:pPr>
            <w:r>
              <w:rPr>
                <w:rFonts w:hint="eastAsia" w:ascii="宋体" w:hAnsi="宋体" w:cs="宋体"/>
                <w:color w:val="000000"/>
                <w:sz w:val="18"/>
                <w:szCs w:val="18"/>
              </w:rPr>
              <w:t>4</w:t>
            </w:r>
            <w:r>
              <w:rPr>
                <w:rFonts w:hint="eastAsia" w:ascii="宋体" w:hAnsi="宋体" w:cs="宋体"/>
                <w:color w:val="000000"/>
                <w:sz w:val="18"/>
                <w:szCs w:val="18"/>
                <w:lang w:val="en-US" w:eastAsia="zh-CN"/>
              </w:rPr>
              <w:t>2</w:t>
            </w:r>
          </w:p>
        </w:tc>
        <w:tc>
          <w:tcPr>
            <w:tcW w:w="2035" w:type="pct"/>
            <w:vAlign w:val="center"/>
          </w:tcPr>
          <w:p>
            <w:pPr>
              <w:widowControl/>
              <w:wordWrap w:val="0"/>
              <w:spacing w:line="270" w:lineRule="atLeast"/>
              <w:jc w:val="left"/>
              <w:rPr>
                <w:rFonts w:ascii="宋体" w:hAnsi="宋体" w:cs="宋体"/>
                <w:color w:val="000000"/>
              </w:rPr>
            </w:pPr>
            <w:r>
              <w:rPr>
                <w:rFonts w:hint="eastAsia" w:ascii="宋体" w:hAnsi="宋体" w:cs="宋体"/>
                <w:kern w:val="0"/>
                <w:sz w:val="18"/>
                <w:szCs w:val="18"/>
              </w:rPr>
              <w:t>投标人提供的试剂耗材的技术参数完全符合招标文件要求，没有负偏离得满分4</w:t>
            </w:r>
            <w:r>
              <w:rPr>
                <w:rFonts w:hint="eastAsia" w:ascii="宋体" w:hAnsi="宋体" w:cs="宋体"/>
                <w:kern w:val="0"/>
                <w:sz w:val="18"/>
                <w:szCs w:val="18"/>
                <w:lang w:val="en-US" w:eastAsia="zh-CN"/>
              </w:rPr>
              <w:t>2</w:t>
            </w:r>
            <w:r>
              <w:rPr>
                <w:rFonts w:hint="eastAsia" w:ascii="宋体" w:hAnsi="宋体" w:cs="宋体"/>
                <w:kern w:val="0"/>
                <w:sz w:val="18"/>
                <w:szCs w:val="18"/>
              </w:rPr>
              <w:t>分；“*”条款技术参数不满足招标文件要求（负偏离），一次扣</w:t>
            </w:r>
            <w:r>
              <w:rPr>
                <w:rFonts w:hint="eastAsia" w:ascii="宋体" w:hAnsi="宋体" w:cs="宋体"/>
                <w:kern w:val="0"/>
                <w:sz w:val="18"/>
                <w:szCs w:val="18"/>
                <w:lang w:val="en-US" w:eastAsia="zh-CN"/>
              </w:rPr>
              <w:t>11</w:t>
            </w:r>
            <w:r>
              <w:rPr>
                <w:rFonts w:hint="eastAsia" w:ascii="宋体" w:hAnsi="宋体" w:cs="宋体"/>
                <w:kern w:val="0"/>
                <w:sz w:val="18"/>
                <w:szCs w:val="18"/>
              </w:rPr>
              <w:t>分；非“*”条款技术参数不满足招标文件要求（负偏离），一次扣</w:t>
            </w:r>
            <w:r>
              <w:rPr>
                <w:rFonts w:hint="eastAsia" w:ascii="宋体" w:hAnsi="宋体" w:cs="宋体"/>
                <w:kern w:val="0"/>
                <w:sz w:val="18"/>
                <w:szCs w:val="18"/>
                <w:lang w:val="en-US" w:eastAsia="zh-CN"/>
              </w:rPr>
              <w:t>5</w:t>
            </w:r>
            <w:r>
              <w:rPr>
                <w:rFonts w:hint="eastAsia" w:ascii="宋体" w:hAnsi="宋体" w:cs="宋体"/>
                <w:kern w:val="0"/>
                <w:sz w:val="18"/>
                <w:szCs w:val="18"/>
              </w:rPr>
              <w:t>分；扣完为止。</w:t>
            </w:r>
          </w:p>
        </w:tc>
        <w:tc>
          <w:tcPr>
            <w:tcW w:w="1628" w:type="pct"/>
            <w:vAlign w:val="center"/>
          </w:tcPr>
          <w:p>
            <w:pPr>
              <w:widowControl/>
              <w:wordWrap w:val="0"/>
              <w:spacing w:line="270" w:lineRule="atLeast"/>
              <w:jc w:val="left"/>
              <w:rPr>
                <w:rFonts w:ascii="宋体" w:hAnsi="宋体" w:cs="Segoe UI"/>
                <w:kern w:val="0"/>
                <w:sz w:val="18"/>
                <w:szCs w:val="18"/>
              </w:rPr>
            </w:pPr>
            <w:r>
              <w:rPr>
                <w:rFonts w:hint="eastAsia" w:ascii="宋体" w:hAnsi="宋体" w:cs="Segoe UI"/>
                <w:kern w:val="0"/>
                <w:sz w:val="18"/>
                <w:szCs w:val="18"/>
              </w:rPr>
              <w:t>  “*”条款技术参数供应商须提供技术支撑材料，并在技术响应表中备注技术支撑材料的页码位置，便于快速查阅验证：</w:t>
            </w:r>
          </w:p>
          <w:p>
            <w:pPr>
              <w:widowControl/>
              <w:wordWrap w:val="0"/>
              <w:spacing w:line="270" w:lineRule="atLeast"/>
              <w:jc w:val="left"/>
            </w:pPr>
            <w:r>
              <w:rPr>
                <w:rFonts w:hint="eastAsia" w:ascii="宋体" w:hAnsi="宋体" w:cs="Segoe UI"/>
                <w:kern w:val="0"/>
                <w:sz w:val="18"/>
                <w:szCs w:val="18"/>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10" w:type="pct"/>
            <w:vAlign w:val="center"/>
          </w:tcPr>
          <w:p>
            <w:pPr>
              <w:widowControl/>
              <w:wordWrap w:val="0"/>
              <w:spacing w:line="270" w:lineRule="atLeast"/>
              <w:jc w:val="center"/>
              <w:rPr>
                <w:rFonts w:ascii="宋体" w:hAnsi="宋体"/>
              </w:rPr>
            </w:pPr>
            <w:r>
              <w:rPr>
                <w:rFonts w:hint="eastAsia" w:ascii="宋体" w:hAnsi="宋体" w:cs="Segoe UI"/>
                <w:color w:val="000000"/>
                <w:kern w:val="0"/>
                <w:sz w:val="18"/>
                <w:szCs w:val="18"/>
              </w:rPr>
              <w:t>3</w:t>
            </w:r>
          </w:p>
        </w:tc>
        <w:tc>
          <w:tcPr>
            <w:tcW w:w="717" w:type="pct"/>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pPr>
            <w:r>
              <w:rPr>
                <w:rFonts w:hint="eastAsia" w:ascii="宋体" w:hAnsi="宋体" w:cs="Segoe UI"/>
                <w:color w:val="000000"/>
                <w:kern w:val="0"/>
                <w:sz w:val="18"/>
                <w:szCs w:val="18"/>
              </w:rPr>
              <w:t>1</w:t>
            </w:r>
            <w:r>
              <w:rPr>
                <w:rFonts w:hint="eastAsia" w:ascii="宋体" w:hAnsi="宋体" w:cs="Segoe UI"/>
                <w:color w:val="000000"/>
                <w:kern w:val="0"/>
                <w:sz w:val="18"/>
                <w:szCs w:val="18"/>
                <w:lang w:val="en-US" w:eastAsia="zh-CN"/>
              </w:rPr>
              <w:t>1</w:t>
            </w:r>
            <w:r>
              <w:rPr>
                <w:rFonts w:hint="eastAsia" w:ascii="宋体" w:hAnsi="宋体" w:cs="Segoe UI"/>
                <w:color w:val="000000"/>
                <w:kern w:val="0"/>
                <w:sz w:val="18"/>
                <w:szCs w:val="18"/>
              </w:rPr>
              <w:t>%</w:t>
            </w:r>
          </w:p>
        </w:tc>
        <w:tc>
          <w:tcPr>
            <w:tcW w:w="306" w:type="pct"/>
            <w:vAlign w:val="center"/>
          </w:tcPr>
          <w:p>
            <w:pPr>
              <w:widowControl/>
              <w:wordWrap w:val="0"/>
              <w:spacing w:line="270" w:lineRule="atLeast"/>
              <w:jc w:val="center"/>
              <w:rPr>
                <w:rFonts w:hint="eastAsia" w:ascii="宋体" w:hAnsi="宋体" w:eastAsia="宋体" w:cs="宋体"/>
                <w:color w:val="000000"/>
                <w:lang w:eastAsia="zh-CN"/>
              </w:rPr>
            </w:pPr>
            <w:r>
              <w:rPr>
                <w:rFonts w:hint="eastAsia" w:ascii="宋体" w:hAnsi="宋体" w:cs="Segoe UI"/>
                <w:color w:val="000000"/>
                <w:kern w:val="0"/>
                <w:sz w:val="18"/>
                <w:szCs w:val="18"/>
              </w:rPr>
              <w:t>1</w:t>
            </w:r>
            <w:r>
              <w:rPr>
                <w:rFonts w:hint="eastAsia" w:ascii="宋体" w:hAnsi="宋体" w:cs="Segoe UI"/>
                <w:color w:val="000000"/>
                <w:kern w:val="0"/>
                <w:sz w:val="18"/>
                <w:szCs w:val="18"/>
                <w:lang w:val="en-US" w:eastAsia="zh-CN"/>
              </w:rPr>
              <w:t>1</w:t>
            </w:r>
          </w:p>
        </w:tc>
        <w:tc>
          <w:tcPr>
            <w:tcW w:w="2035" w:type="pct"/>
            <w:vAlign w:val="center"/>
          </w:tcPr>
          <w:p>
            <w:pPr>
              <w:wordWrap w:val="0"/>
              <w:spacing w:line="270" w:lineRule="atLeast"/>
              <w:jc w:val="left"/>
              <w:rPr>
                <w:rFonts w:ascii="宋体" w:hAnsi="宋体" w:cs="宋体"/>
                <w:color w:val="000000"/>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1628" w:type="pct"/>
            <w:vAlign w:val="center"/>
          </w:tcPr>
          <w:p>
            <w:pPr>
              <w:wordWrap w:val="0"/>
              <w:spacing w:line="270" w:lineRule="atLeast"/>
              <w:jc w:val="left"/>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310" w:type="pct"/>
            <w:vAlign w:val="center"/>
          </w:tcPr>
          <w:p>
            <w:pPr>
              <w:widowControl/>
              <w:wordWrap w:val="0"/>
              <w:spacing w:line="270" w:lineRule="atLeast"/>
              <w:jc w:val="center"/>
              <w:rPr>
                <w:rFonts w:ascii="宋体" w:hAnsi="宋体"/>
              </w:rPr>
            </w:pPr>
            <w:r>
              <w:rPr>
                <w:rFonts w:hint="eastAsia" w:ascii="宋体" w:hAnsi="宋体" w:cs="Segoe UI"/>
                <w:color w:val="000000"/>
                <w:kern w:val="0"/>
                <w:sz w:val="18"/>
                <w:szCs w:val="18"/>
              </w:rPr>
              <w:t>4</w:t>
            </w:r>
          </w:p>
        </w:tc>
        <w:tc>
          <w:tcPr>
            <w:tcW w:w="717" w:type="pct"/>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pPr>
            <w:r>
              <w:rPr>
                <w:rFonts w:hint="eastAsia" w:ascii="宋体" w:hAnsi="宋体" w:cs="Segoe UI"/>
                <w:color w:val="000000"/>
                <w:kern w:val="0"/>
                <w:sz w:val="18"/>
                <w:szCs w:val="18"/>
                <w:lang w:val="en-US" w:eastAsia="zh-CN"/>
              </w:rPr>
              <w:t>8</w:t>
            </w:r>
            <w:r>
              <w:rPr>
                <w:rFonts w:hint="eastAsia" w:ascii="宋体" w:hAnsi="宋体" w:cs="Segoe UI"/>
                <w:color w:val="000000"/>
                <w:kern w:val="0"/>
                <w:sz w:val="18"/>
                <w:szCs w:val="18"/>
              </w:rPr>
              <w:t>%</w:t>
            </w:r>
          </w:p>
        </w:tc>
        <w:tc>
          <w:tcPr>
            <w:tcW w:w="306" w:type="pct"/>
            <w:vAlign w:val="center"/>
          </w:tcPr>
          <w:p>
            <w:pPr>
              <w:widowControl/>
              <w:wordWrap w:val="0"/>
              <w:spacing w:line="270" w:lineRule="atLeast"/>
              <w:jc w:val="center"/>
              <w:rPr>
                <w:rFonts w:hint="eastAsia" w:ascii="宋体" w:hAnsi="宋体" w:eastAsia="宋体" w:cs="宋体"/>
                <w:color w:val="000000"/>
                <w:lang w:eastAsia="zh-CN"/>
              </w:rPr>
            </w:pPr>
            <w:r>
              <w:rPr>
                <w:rFonts w:hint="eastAsia" w:ascii="宋体" w:hAnsi="宋体" w:cs="宋体"/>
                <w:color w:val="000000"/>
                <w:lang w:val="en-US" w:eastAsia="zh-CN"/>
              </w:rPr>
              <w:t>8</w:t>
            </w:r>
          </w:p>
        </w:tc>
        <w:tc>
          <w:tcPr>
            <w:tcW w:w="2035" w:type="pct"/>
            <w:vAlign w:val="center"/>
          </w:tcPr>
          <w:p>
            <w:pPr>
              <w:widowControl/>
              <w:wordWrap w:val="0"/>
              <w:spacing w:line="270" w:lineRule="atLeast"/>
              <w:jc w:val="left"/>
              <w:rPr>
                <w:rFonts w:ascii="宋体" w:hAnsi="宋体" w:cs="宋体"/>
                <w:color w:val="000000"/>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投标人</w:t>
            </w:r>
            <w:r>
              <w:rPr>
                <w:rFonts w:hint="eastAsia" w:ascii="宋体" w:hAnsi="宋体" w:cs="宋体"/>
                <w:color w:val="000000"/>
                <w:kern w:val="0"/>
                <w:sz w:val="18"/>
                <w:szCs w:val="18"/>
              </w:rPr>
              <w:t>2021年以来在国内三甲医疗机构销售</w:t>
            </w:r>
            <w:r>
              <w:rPr>
                <w:rFonts w:hint="eastAsia" w:ascii="宋体" w:hAnsi="宋体" w:cs="宋体"/>
                <w:b/>
                <w:bCs/>
                <w:color w:val="000000"/>
                <w:kern w:val="0"/>
                <w:sz w:val="18"/>
                <w:szCs w:val="18"/>
              </w:rPr>
              <w:t>响应产品</w:t>
            </w:r>
            <w:r>
              <w:rPr>
                <w:rFonts w:hint="eastAsia" w:ascii="宋体" w:hAnsi="宋体" w:cs="宋体"/>
                <w:color w:val="000000"/>
                <w:kern w:val="0"/>
                <w:sz w:val="18"/>
                <w:szCs w:val="18"/>
              </w:rPr>
              <w:t>的业绩证明，每提供1家三甲医疗机构得1分，最多</w:t>
            </w:r>
            <w:r>
              <w:rPr>
                <w:rFonts w:hint="eastAsia" w:ascii="宋体" w:hAnsi="宋体" w:cs="宋体"/>
                <w:color w:val="000000"/>
                <w:kern w:val="0"/>
                <w:sz w:val="18"/>
                <w:szCs w:val="18"/>
                <w:lang w:val="en-US" w:eastAsia="zh-CN"/>
              </w:rPr>
              <w:t>8</w:t>
            </w:r>
            <w:r>
              <w:rPr>
                <w:rFonts w:hint="eastAsia" w:ascii="宋体" w:hAnsi="宋体" w:cs="宋体"/>
                <w:color w:val="000000"/>
                <w:kern w:val="0"/>
                <w:sz w:val="18"/>
                <w:szCs w:val="18"/>
              </w:rPr>
              <w:t>分。</w:t>
            </w:r>
          </w:p>
        </w:tc>
        <w:tc>
          <w:tcPr>
            <w:tcW w:w="1628" w:type="pct"/>
            <w:vAlign w:val="center"/>
          </w:tcPr>
          <w:p>
            <w:pPr>
              <w:widowControl/>
              <w:wordWrap w:val="0"/>
              <w:spacing w:line="270" w:lineRule="atLeast"/>
              <w:jc w:val="left"/>
              <w:rPr>
                <w:rFonts w:ascii="宋体" w:hAnsi="宋体" w:cs="宋体"/>
                <w:kern w:val="0"/>
                <w:sz w:val="18"/>
                <w:szCs w:val="18"/>
              </w:rPr>
            </w:pPr>
            <w:r>
              <w:rPr>
                <w:rFonts w:hint="eastAsia" w:ascii="宋体" w:hAnsi="宋体" w:cs="宋体"/>
                <w:kern w:val="0"/>
                <w:sz w:val="18"/>
                <w:szCs w:val="18"/>
              </w:rPr>
              <w:t>需提供以下证明资料如下：</w:t>
            </w:r>
          </w:p>
          <w:p>
            <w:pPr>
              <w:widowControl/>
              <w:wordWrap w:val="0"/>
              <w:spacing w:line="270" w:lineRule="atLeast"/>
              <w:jc w:val="left"/>
              <w:rPr>
                <w:rFonts w:ascii="宋体" w:hAnsi="宋体" w:cs="宋体" w:eastAsiaTheme="minorEastAsia"/>
                <w:kern w:val="0"/>
                <w:sz w:val="18"/>
                <w:szCs w:val="18"/>
              </w:rPr>
            </w:pPr>
            <w:r>
              <w:rPr>
                <w:rFonts w:hint="eastAsia" w:ascii="宋体" w:hAnsi="宋体" w:cs="宋体"/>
                <w:kern w:val="0"/>
                <w:sz w:val="18"/>
                <w:szCs w:val="18"/>
              </w:rPr>
              <w:t>1.合同复印件（说明：合同无产品明细需提供发票复印件，若发票复印件上也无产品明细则需附销货清单）。</w:t>
            </w:r>
          </w:p>
          <w:p>
            <w:pPr>
              <w:widowControl/>
              <w:wordWrap w:val="0"/>
              <w:spacing w:line="270" w:lineRule="atLeast"/>
              <w:jc w:val="left"/>
            </w:pPr>
            <w:r>
              <w:rPr>
                <w:rFonts w:hint="eastAsia" w:ascii="宋体" w:hAnsi="宋体" w:cs="宋体"/>
                <w:kern w:val="0"/>
                <w:sz w:val="18"/>
                <w:szCs w:val="18"/>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6" w:hRule="atLeast"/>
          <w:jc w:val="center"/>
        </w:trPr>
        <w:tc>
          <w:tcPr>
            <w:tcW w:w="310" w:type="pct"/>
            <w:vAlign w:val="center"/>
          </w:tcPr>
          <w:p>
            <w:pPr>
              <w:widowControl/>
              <w:wordWrap w:val="0"/>
              <w:spacing w:line="270" w:lineRule="atLeast"/>
              <w:jc w:val="center"/>
              <w:rPr>
                <w:rFonts w:ascii="宋体" w:hAnsi="宋体"/>
              </w:rPr>
            </w:pPr>
            <w:r>
              <w:rPr>
                <w:rFonts w:hint="eastAsia" w:ascii="宋体" w:hAnsi="宋体" w:cs="Segoe UI"/>
                <w:color w:val="000000"/>
                <w:kern w:val="0"/>
                <w:sz w:val="18"/>
                <w:szCs w:val="18"/>
              </w:rPr>
              <w:t>5</w:t>
            </w:r>
          </w:p>
        </w:tc>
        <w:tc>
          <w:tcPr>
            <w:tcW w:w="717" w:type="pct"/>
            <w:vAlign w:val="center"/>
          </w:tcPr>
          <w:p>
            <w:pPr>
              <w:widowControl/>
              <w:wordWrap w:val="0"/>
              <w:spacing w:line="270" w:lineRule="atLeast"/>
              <w:jc w:val="center"/>
              <w:rPr>
                <w:rFonts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306" w:type="pct"/>
            <w:vAlign w:val="center"/>
          </w:tcPr>
          <w:p>
            <w:pPr>
              <w:widowControl/>
              <w:spacing w:line="320" w:lineRule="atLeast"/>
              <w:ind w:left="-105" w:right="-107"/>
              <w:jc w:val="center"/>
              <w:rPr>
                <w:rFonts w:hint="eastAsia" w:ascii="宋体" w:hAnsi="宋体" w:eastAsia="宋体" w:cs="宋体"/>
                <w:color w:val="000000"/>
                <w:lang w:eastAsia="zh-CN"/>
              </w:rPr>
            </w:pPr>
            <w:r>
              <w:rPr>
                <w:rFonts w:hint="eastAsia" w:ascii="宋体" w:hAnsi="宋体" w:cs="宋体"/>
                <w:color w:val="000000"/>
                <w:lang w:val="en-US" w:eastAsia="zh-CN"/>
              </w:rPr>
              <w:t>9</w:t>
            </w:r>
          </w:p>
        </w:tc>
        <w:tc>
          <w:tcPr>
            <w:tcW w:w="2035" w:type="pct"/>
            <w:vAlign w:val="center"/>
          </w:tcPr>
          <w:p>
            <w:pPr>
              <w:wordWrap w:val="0"/>
              <w:jc w:val="left"/>
              <w:rPr>
                <w:rFonts w:ascii="宋体" w:hAnsi="宋体" w:cs="宋体"/>
                <w:color w:val="000000"/>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1628" w:type="pct"/>
            <w:vAlign w:val="center"/>
          </w:tcPr>
          <w:p>
            <w:pPr>
              <w:wordWrap w:val="0"/>
              <w:jc w:val="left"/>
            </w:pPr>
          </w:p>
        </w:tc>
      </w:tr>
    </w:tbl>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3</w:t>
      </w:r>
      <w:r>
        <w:rPr>
          <w:rFonts w:hint="eastAsia" w:ascii="仿宋_GB2312" w:hAnsi="Segoe UI" w:eastAsia="仿宋_GB2312" w:cs="Segoe UI"/>
          <w:b/>
          <w:bCs/>
          <w:color w:val="000000" w:themeColor="text1"/>
          <w:kern w:val="0"/>
          <w:sz w:val="28"/>
          <w:szCs w:val="28"/>
        </w:rPr>
        <w:t>：采购报价文件书装订顺序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6</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3414"/>
      <w:bookmarkStart w:id="3" w:name="_Toc9234"/>
      <w:bookmarkStart w:id="4" w:name="_Toc15614"/>
      <w:bookmarkStart w:id="5" w:name="_Toc21163"/>
      <w:bookmarkStart w:id="6" w:name="_Toc21676"/>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0689"/>
      <w:bookmarkStart w:id="8" w:name="_Toc12490"/>
      <w:bookmarkStart w:id="9" w:name="_Toc30494"/>
      <w:bookmarkStart w:id="10" w:name="_Toc14802"/>
      <w:bookmarkStart w:id="11" w:name="_Toc30275"/>
      <w:bookmarkStart w:id="12" w:name="_Toc11076"/>
      <w:bookmarkStart w:id="13" w:name="_Toc60"/>
      <w:bookmarkStart w:id="14" w:name="_Toc5499"/>
      <w:bookmarkStart w:id="15" w:name="_Toc5208"/>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7067"/>
      <w:bookmarkStart w:id="17" w:name="_Toc28103"/>
      <w:bookmarkStart w:id="18" w:name="_Toc10948"/>
      <w:bookmarkStart w:id="19" w:name="_Toc26481"/>
      <w:bookmarkStart w:id="20" w:name="_Toc30724"/>
      <w:bookmarkStart w:id="21" w:name="_Toc9131"/>
      <w:bookmarkStart w:id="22" w:name="_Toc32214"/>
      <w:bookmarkStart w:id="23" w:name="_Toc13021"/>
      <w:bookmarkStart w:id="24" w:name="_Toc10183"/>
      <w:bookmarkStart w:id="25" w:name="_Toc3081"/>
      <w:bookmarkStart w:id="26" w:name="_Toc3912"/>
      <w:bookmarkStart w:id="27" w:name="_Toc30080"/>
      <w:bookmarkStart w:id="28" w:name="_Toc3392"/>
      <w:bookmarkStart w:id="29" w:name="_Toc18513"/>
      <w:bookmarkStart w:id="30" w:name="_Toc19115"/>
      <w:bookmarkStart w:id="31" w:name="_Toc18879"/>
      <w:bookmarkStart w:id="32" w:name="_Toc8717"/>
      <w:bookmarkStart w:id="33" w:name="_Toc3447"/>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22795"/>
      <w:bookmarkStart w:id="35" w:name="_Toc10142"/>
      <w:bookmarkStart w:id="36" w:name="_Toc9042"/>
      <w:bookmarkStart w:id="37" w:name="_Toc30920"/>
      <w:bookmarkStart w:id="38" w:name="_Toc23645"/>
      <w:bookmarkStart w:id="39" w:name="_Toc15196"/>
      <w:bookmarkStart w:id="40" w:name="_Toc30649"/>
      <w:bookmarkStart w:id="41" w:name="_Toc18259"/>
      <w:bookmarkStart w:id="42" w:name="_Toc7249"/>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83"/>
      <w:bookmarkStart w:id="46" w:name="_Toc19600"/>
      <w:bookmarkStart w:id="47" w:name="_Toc3534"/>
      <w:bookmarkStart w:id="48" w:name="_Toc4775"/>
      <w:bookmarkStart w:id="49" w:name="_Toc24117"/>
      <w:bookmarkStart w:id="50" w:name="_Toc25516"/>
      <w:bookmarkStart w:id="51" w:name="_Toc26548"/>
      <w:bookmarkStart w:id="52" w:name="_Toc21988"/>
      <w:bookmarkStart w:id="53" w:name="_Toc300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6764"/>
      <w:bookmarkStart w:id="55" w:name="_Toc16666"/>
      <w:bookmarkStart w:id="56" w:name="_Toc21982"/>
      <w:bookmarkStart w:id="57" w:name="_Toc32166"/>
      <w:bookmarkStart w:id="58" w:name="_Toc3494"/>
      <w:bookmarkStart w:id="59" w:name="_Toc14887"/>
      <w:bookmarkStart w:id="60" w:name="_Toc22198"/>
      <w:bookmarkStart w:id="61" w:name="_Toc691"/>
      <w:bookmarkStart w:id="62" w:name="_Toc23192"/>
      <w:bookmarkStart w:id="63" w:name="_Toc27376"/>
      <w:bookmarkStart w:id="64" w:name="_Toc12333"/>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371"/>
      <w:bookmarkStart w:id="66" w:name="_Toc14269"/>
      <w:bookmarkStart w:id="67" w:name="_Toc4577"/>
      <w:bookmarkStart w:id="68" w:name="_Toc10013"/>
      <w:bookmarkStart w:id="69" w:name="_Toc5412"/>
      <w:bookmarkStart w:id="70" w:name="_Toc11914"/>
      <w:bookmarkStart w:id="71" w:name="_Toc22606"/>
      <w:bookmarkStart w:id="72" w:name="_Toc9263"/>
      <w:bookmarkStart w:id="73" w:name="_Toc31581"/>
      <w:bookmarkStart w:id="74" w:name="_Toc25068"/>
      <w:bookmarkStart w:id="75" w:name="_Toc3943"/>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29190"/>
      <w:bookmarkStart w:id="77" w:name="_Toc2316"/>
      <w:bookmarkStart w:id="78" w:name="_Toc2937"/>
      <w:bookmarkStart w:id="79" w:name="_Toc17108"/>
      <w:bookmarkStart w:id="80" w:name="_Toc13267"/>
      <w:bookmarkStart w:id="81" w:name="_Toc3908"/>
      <w:bookmarkStart w:id="82" w:name="_Toc11489"/>
      <w:bookmarkStart w:id="83" w:name="_Toc13677"/>
      <w:bookmarkStart w:id="84" w:name="_Toc10600"/>
      <w:bookmarkStart w:id="85" w:name="_Toc18935"/>
      <w:bookmarkStart w:id="86" w:name="_Toc31890"/>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5916"/>
      <w:bookmarkStart w:id="88" w:name="_Toc12088"/>
      <w:bookmarkStart w:id="89" w:name="_Toc1313"/>
      <w:bookmarkStart w:id="90" w:name="_Toc31638"/>
      <w:bookmarkStart w:id="91" w:name="_Toc21351"/>
      <w:bookmarkStart w:id="92" w:name="_Toc24122"/>
      <w:bookmarkStart w:id="93" w:name="_Toc26756"/>
      <w:bookmarkStart w:id="94" w:name="_Toc32365"/>
      <w:bookmarkStart w:id="95" w:name="_Toc14252"/>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6609"/>
      <w:bookmarkStart w:id="98" w:name="_Toc27948"/>
      <w:bookmarkStart w:id="99" w:name="_Toc27985"/>
      <w:bookmarkStart w:id="100" w:name="_Toc15083"/>
      <w:bookmarkStart w:id="101" w:name="_Toc10583"/>
      <w:bookmarkStart w:id="102" w:name="_Toc23212"/>
      <w:bookmarkStart w:id="103" w:name="_Toc15894"/>
      <w:bookmarkStart w:id="104" w:name="_Toc11278"/>
      <w:bookmarkStart w:id="105" w:name="_Toc18046"/>
      <w:bookmarkStart w:id="106" w:name="_Toc22760"/>
      <w:bookmarkStart w:id="107" w:name="_Toc9398"/>
      <w:bookmarkStart w:id="108" w:name="_Toc19589"/>
      <w:bookmarkStart w:id="109" w:name="_Toc2921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17204"/>
      <w:bookmarkStart w:id="111" w:name="_Toc4116"/>
      <w:bookmarkStart w:id="112" w:name="_Toc8348"/>
      <w:bookmarkStart w:id="113" w:name="_Toc757"/>
      <w:bookmarkStart w:id="114" w:name="_Toc14546"/>
      <w:bookmarkStart w:id="115" w:name="_Toc24655"/>
      <w:bookmarkStart w:id="116" w:name="_Toc8940"/>
      <w:bookmarkStart w:id="117" w:name="_Toc24107"/>
      <w:bookmarkStart w:id="118" w:name="_Toc24671"/>
      <w:bookmarkStart w:id="119" w:name="_Toc17741"/>
      <w:bookmarkStart w:id="120" w:name="_Toc8083"/>
      <w:bookmarkStart w:id="121" w:name="_Toc27767"/>
      <w:bookmarkStart w:id="122" w:name="_Toc296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0308"/>
      <w:bookmarkStart w:id="124" w:name="_Toc10945"/>
      <w:bookmarkStart w:id="125" w:name="_Toc14781"/>
      <w:bookmarkStart w:id="126" w:name="_Toc5840"/>
      <w:bookmarkStart w:id="127" w:name="_Toc8524"/>
      <w:bookmarkStart w:id="128" w:name="_Toc22243"/>
      <w:bookmarkStart w:id="129" w:name="_Toc20745"/>
      <w:bookmarkStart w:id="130" w:name="_Toc2003"/>
      <w:bookmarkStart w:id="131" w:name="_Toc12682"/>
      <w:bookmarkStart w:id="132" w:name="_Toc24280"/>
      <w:bookmarkStart w:id="133" w:name="_Toc15917"/>
      <w:bookmarkStart w:id="134" w:name="_Toc10950"/>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eastAsia"/>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bookmarkStart w:id="135" w:name="_GoBack"/>
      <w:bookmarkEnd w:id="135"/>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FZXBSJW--GB1-0">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abstractNum w:abstractNumId="1">
    <w:nsid w:val="5A901462"/>
    <w:multiLevelType w:val="singleLevel"/>
    <w:tmpl w:val="5A901462"/>
    <w:lvl w:ilvl="0" w:tentative="0">
      <w:start w:val="4"/>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BF815CE"/>
    <w:rsid w:val="0E911C5D"/>
    <w:rsid w:val="10954EC2"/>
    <w:rsid w:val="12A81059"/>
    <w:rsid w:val="13485B4A"/>
    <w:rsid w:val="14456F80"/>
    <w:rsid w:val="195D2073"/>
    <w:rsid w:val="1A37043E"/>
    <w:rsid w:val="20E63513"/>
    <w:rsid w:val="228C2840"/>
    <w:rsid w:val="26D9225C"/>
    <w:rsid w:val="272816FC"/>
    <w:rsid w:val="28203DA9"/>
    <w:rsid w:val="2E811DD5"/>
    <w:rsid w:val="357C4381"/>
    <w:rsid w:val="364F4E7F"/>
    <w:rsid w:val="365344A5"/>
    <w:rsid w:val="38BB478A"/>
    <w:rsid w:val="396510AC"/>
    <w:rsid w:val="3ED3727D"/>
    <w:rsid w:val="405F3E1B"/>
    <w:rsid w:val="41EE0E8D"/>
    <w:rsid w:val="4669398D"/>
    <w:rsid w:val="48983A5D"/>
    <w:rsid w:val="4AE36A9A"/>
    <w:rsid w:val="4B7A520A"/>
    <w:rsid w:val="4C5E41EC"/>
    <w:rsid w:val="4EE10A0C"/>
    <w:rsid w:val="51CB3FD0"/>
    <w:rsid w:val="53914C7E"/>
    <w:rsid w:val="5536063D"/>
    <w:rsid w:val="55F211D3"/>
    <w:rsid w:val="56183BA8"/>
    <w:rsid w:val="577B25E6"/>
    <w:rsid w:val="578112EE"/>
    <w:rsid w:val="5C452678"/>
    <w:rsid w:val="5FEC0FA4"/>
    <w:rsid w:val="60795DD8"/>
    <w:rsid w:val="60D62E01"/>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2024-05-31T02:50:45Z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