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院内配电设备检测采购项目（第二次）</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SCFY-HQ202405-001（磋）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both"/>
        <w:rPr>
          <w:rFonts w:hint="eastAsia" w:ascii="仿宋_GB2312" w:hAnsi="仿宋_GB2312" w:eastAsia="仿宋_GB2312" w:cs="仿宋_GB2312"/>
          <w:color w:val="auto"/>
          <w:sz w:val="28"/>
          <w:szCs w:val="28"/>
          <w:highlight w:val="no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widowControl/>
        <w:suppressLineNumbers w:val="0"/>
        <w:kinsoku/>
        <w:wordWrap/>
        <w:overflowPunct/>
        <w:topLinePunct w:val="0"/>
        <w:autoSpaceDE/>
        <w:autoSpaceDN/>
        <w:bidi w:val="0"/>
        <w:spacing w:line="360" w:lineRule="auto"/>
        <w:jc w:val="left"/>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我院将召开“院内配电设备检测采购项目</w:t>
      </w:r>
      <w:r>
        <w:rPr>
          <w:rFonts w:hint="eastAsia" w:ascii="宋体" w:hAnsi="宋体" w:cs="宋体"/>
          <w:i w:val="0"/>
          <w:iCs w:val="0"/>
          <w:caps w:val="0"/>
          <w:color w:val="auto"/>
          <w:spacing w:val="0"/>
          <w:sz w:val="24"/>
          <w:szCs w:val="24"/>
          <w:highlight w:val="none"/>
          <w:shd w:val="clear" w:color="auto" w:fill="FFFFFF"/>
          <w:lang w:val="en-US" w:eastAsia="zh-CN"/>
        </w:rPr>
        <w:t>（第二次）</w:t>
      </w:r>
      <w:r>
        <w:rPr>
          <w:rFonts w:hint="eastAsia" w:ascii="宋体" w:hAnsi="宋体" w:eastAsia="宋体" w:cs="宋体"/>
          <w:i w:val="0"/>
          <w:iCs w:val="0"/>
          <w:caps w:val="0"/>
          <w:color w:val="auto"/>
          <w:spacing w:val="0"/>
          <w:sz w:val="24"/>
          <w:szCs w:val="24"/>
          <w:highlight w:val="none"/>
          <w:shd w:val="clear" w:color="auto" w:fill="FFFFFF"/>
          <w:lang w:val="en-US" w:eastAsia="zh-CN"/>
        </w:rPr>
        <w:t>”院内采购会议，会议由后勤保障部组织。届时，请投标人准时参加，务必提供公司资质文件（密封盖</w:t>
      </w:r>
      <w:bookmarkStart w:id="1" w:name="_GoBack"/>
      <w:bookmarkEnd w:id="1"/>
      <w:r>
        <w:rPr>
          <w:rFonts w:hint="eastAsia" w:ascii="宋体" w:hAnsi="宋体" w:eastAsia="宋体" w:cs="宋体"/>
          <w:i w:val="0"/>
          <w:iCs w:val="0"/>
          <w:caps w:val="0"/>
          <w:color w:val="auto"/>
          <w:spacing w:val="0"/>
          <w:sz w:val="24"/>
          <w:szCs w:val="24"/>
          <w:highlight w:val="none"/>
          <w:shd w:val="clear" w:color="auto" w:fill="FFFFFF"/>
          <w:lang w:val="en-US" w:eastAsia="zh-CN"/>
        </w:rPr>
        <w:t>章）、采购投标文件（密封盖章）、报价一览表（密封盖章）等资料，具体事项如下：</w:t>
      </w:r>
    </w:p>
    <w:p>
      <w:pPr>
        <w:pStyle w:val="10"/>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firstLine="42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eastAsia="zh-CN"/>
        </w:rPr>
        <w:t>2024年6月13日（星期四）上午9:00</w:t>
      </w:r>
    </w:p>
    <w:p>
      <w:pPr>
        <w:pStyle w:val="10"/>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后勤保障部及院外专家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eastAsia="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kern w:val="2"/>
          <w:sz w:val="24"/>
          <w:szCs w:val="24"/>
          <w:highlight w:val="none"/>
          <w:shd w:val="clear" w:color="auto" w:fill="FFFFFF"/>
          <w:lang w:val="en-US" w:eastAsia="zh-CN" w:bidi="ar-SA"/>
        </w:rPr>
        <w:t>3 具有承装（修、试）电力设施业务，四级承装类或以上，四级承修类或以上，四级承试类或以上</w:t>
      </w:r>
      <w:r>
        <w:rPr>
          <w:rFonts w:hint="eastAsia" w:ascii="宋体" w:hAnsi="宋体" w:eastAsia="宋体" w:cs="宋体"/>
          <w:b/>
          <w:bCs/>
          <w:color w:val="auto"/>
          <w:kern w:val="2"/>
          <w:sz w:val="24"/>
          <w:szCs w:val="24"/>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4.2.4 </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附2-5）</w:t>
      </w:r>
      <w:r>
        <w:rPr>
          <w:rFonts w:hint="eastAsia" w:ascii="宋体" w:hAnsi="宋体" w:cs="宋体"/>
          <w:b/>
          <w:bCs/>
          <w:i w:val="0"/>
          <w:iCs w:val="0"/>
          <w:caps w:val="0"/>
          <w:color w:val="auto"/>
          <w:spacing w:val="0"/>
          <w:sz w:val="24"/>
          <w:szCs w:val="24"/>
          <w:highlight w:val="none"/>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附2-6）</w:t>
      </w:r>
      <w:r>
        <w:rPr>
          <w:rFonts w:hint="eastAsia" w:ascii="宋体" w:hAnsi="宋体" w:cs="宋体"/>
          <w:b/>
          <w:bCs/>
          <w:i w:val="0"/>
          <w:iCs w:val="0"/>
          <w:caps w:val="0"/>
          <w:color w:val="auto"/>
          <w:spacing w:val="0"/>
          <w:sz w:val="24"/>
          <w:szCs w:val="24"/>
          <w:highlight w:val="none"/>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w:t>
      </w:r>
      <w:r>
        <w:rPr>
          <w:rFonts w:hint="eastAsia" w:ascii="宋体" w:hAnsi="宋体" w:cs="宋体"/>
          <w:b w:val="0"/>
          <w:bCs w:val="0"/>
          <w:i w:val="0"/>
          <w:iCs w:val="0"/>
          <w:caps w:val="0"/>
          <w:color w:val="auto"/>
          <w:spacing w:val="0"/>
          <w:sz w:val="24"/>
          <w:szCs w:val="24"/>
          <w:highlight w:val="none"/>
          <w:shd w:val="clear" w:color="auto" w:fill="FFFFFF"/>
          <w:lang w:val="en-US" w:eastAsia="zh-CN"/>
        </w:rPr>
        <w:t>6</w:t>
      </w:r>
      <w:r>
        <w:rPr>
          <w:rFonts w:hint="eastAsia" w:ascii="宋体" w:hAnsi="宋体" w:eastAsia="宋体" w:cs="宋体"/>
          <w:b w:val="0"/>
          <w:bCs w:val="0"/>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color="auto" w:fill="FFFFFF"/>
        </w:rPr>
        <w:t>。</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报价要求：</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i w:val="0"/>
          <w:iCs w:val="0"/>
          <w:caps w:val="0"/>
          <w:color w:val="auto"/>
          <w:spacing w:val="0"/>
          <w:sz w:val="24"/>
          <w:szCs w:val="24"/>
          <w:highlight w:val="none"/>
          <w:shd w:val="clear" w:color="auto" w:fill="FFFFFF"/>
          <w:lang w:eastAsia="zh-CN"/>
        </w:rPr>
        <w:t>2024年6月13日（星期四）上午9:00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2024年6月13日（星期四）上午9:00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i w:val="0"/>
          <w:iCs w:val="0"/>
          <w:caps w:val="0"/>
          <w:color w:val="auto"/>
          <w:spacing w:val="0"/>
          <w:sz w:val="24"/>
          <w:szCs w:val="24"/>
          <w:highlight w:val="none"/>
          <w:shd w:val="clear" w:color="auto" w:fill="FFFFFF"/>
          <w:lang w:eastAsia="zh-CN"/>
        </w:rPr>
        <w:t>2024年6月13日（星期四）上午9:00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9.其它说明：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r>
        <w:rPr>
          <w:rFonts w:hint="eastAsia" w:ascii="宋体" w:hAnsi="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eastAsia="宋体" w:cs="宋体"/>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赵</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cs="宋体"/>
          <w:i w:val="0"/>
          <w:iCs w:val="0"/>
          <w:caps w:val="0"/>
          <w:color w:val="auto"/>
          <w:spacing w:val="0"/>
          <w:sz w:val="24"/>
          <w:szCs w:val="24"/>
          <w:highlight w:val="none"/>
          <w:shd w:val="clear" w:color="auto" w:fill="FFFFFF"/>
          <w:lang w:val="en-US" w:eastAsia="zh-CN"/>
        </w:rPr>
        <w:t>223</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i w:val="0"/>
          <w:caps w:val="0"/>
          <w:color w:val="555555"/>
          <w:spacing w:val="0"/>
          <w:sz w:val="24"/>
          <w:szCs w:val="24"/>
          <w:shd w:val="clear" w:color="auto" w:fill="FFFFFF"/>
          <w:lang w:val="en-US" w:eastAsia="zh-CN"/>
        </w:rPr>
        <w:t>附件1：采购</w:t>
      </w:r>
      <w:r>
        <w:rPr>
          <w:rFonts w:hint="eastAsia" w:ascii="宋体" w:hAnsi="宋体" w:eastAsia="宋体" w:cs="宋体"/>
          <w:b/>
          <w:bCs/>
          <w:i w:val="0"/>
          <w:caps w:val="0"/>
          <w:color w:val="555555"/>
          <w:spacing w:val="0"/>
          <w:sz w:val="24"/>
          <w:szCs w:val="24"/>
          <w:shd w:val="clear" w:color="auto" w:fill="FFFFFF"/>
        </w:rPr>
        <w:t>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rPr>
          <w:rFonts w:hint="eastAsia" w:ascii="宋体" w:hAnsi="宋体" w:eastAsia="宋体" w:cs="宋体"/>
          <w:b/>
          <w:color w:val="auto"/>
          <w:sz w:val="24"/>
          <w:szCs w:val="24"/>
          <w:highlight w:val="none"/>
        </w:rPr>
      </w:pPr>
      <w:bookmarkStart w:id="0" w:name="_Toc453767404"/>
      <w:r>
        <w:rPr>
          <w:rFonts w:hint="eastAsia" w:ascii="宋体" w:hAnsi="宋体" w:eastAsia="宋体" w:cs="宋体"/>
          <w:b/>
          <w:color w:val="auto"/>
          <w:sz w:val="24"/>
          <w:szCs w:val="24"/>
          <w:highlight w:val="none"/>
        </w:rPr>
        <w:t>一、项目概况</w:t>
      </w:r>
    </w:p>
    <w:p>
      <w:pPr>
        <w:keepNext w:val="0"/>
        <w:keepLines w:val="0"/>
        <w:pageBreakBefore w:val="0"/>
        <w:kinsoku/>
        <w:wordWrap/>
        <w:overflowPunct/>
        <w:topLinePunct w:val="0"/>
        <w:bidi w:val="0"/>
        <w:spacing w:line="360" w:lineRule="auto"/>
        <w:ind w:firstLine="480" w:firstLineChars="200"/>
        <w:rPr>
          <w:rFonts w:hint="default"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1.项目名称：院内配电设备检测采购项目</w:t>
      </w:r>
      <w:r>
        <w:rPr>
          <w:rFonts w:hint="eastAsia" w:ascii="宋体" w:hAnsi="宋体" w:cs="宋体"/>
          <w:color w:val="auto"/>
          <w:kern w:val="1"/>
          <w:sz w:val="24"/>
          <w:szCs w:val="24"/>
          <w:highlight w:val="none"/>
          <w:lang w:val="en-US" w:eastAsia="zh-CN"/>
        </w:rPr>
        <w:t>（第二次）</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2.成都市武侯区沙堰西二街290号、成都市金牛区抚琴西路338号、成都市双流区岐黄二路1515号。</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3.项目依据：根据国家《电力设备预防性试验规程》，电力部DL/T596《电力设备预防性试验规程》及GB 50150《电气装置安装工程电气设备交接试验标准》，配电室各设备需要进行预防试验，由于我院属于政府部备案高危重点保电单位，每年需要进行一次预防性检测。</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auto"/>
          <w:sz w:val="24"/>
          <w:szCs w:val="24"/>
          <w:highlight w:val="none"/>
          <w:lang w:val="en-US" w:eastAsia="zh-CN"/>
        </w:rPr>
      </w:pPr>
    </w:p>
    <w:bookmarkEnd w:id="0"/>
    <w:p>
      <w:pPr>
        <w:keepNext w:val="0"/>
        <w:keepLines w:val="0"/>
        <w:pageBreakBefore w:val="0"/>
        <w:kinsoku/>
        <w:wordWrap/>
        <w:overflowPunct/>
        <w:topLinePunct w:val="0"/>
        <w:bidi w:val="0"/>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二、维护保养内容</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院内配电设备检测采购项目主要内容。其中16</w:t>
      </w:r>
      <w:r>
        <w:rPr>
          <w:rFonts w:hint="eastAsia" w:ascii="宋体" w:hAnsi="宋体" w:eastAsia="宋体" w:cs="宋体"/>
          <w:color w:val="auto"/>
          <w:kern w:val="1"/>
          <w:sz w:val="24"/>
          <w:szCs w:val="24"/>
          <w:highlight w:val="none"/>
          <w:lang w:eastAsia="zh-CN"/>
        </w:rPr>
        <w:t>台变压器（含1台630KVA油浸式变压器</w:t>
      </w:r>
      <w:r>
        <w:rPr>
          <w:rFonts w:hint="eastAsia" w:ascii="宋体" w:hAnsi="宋体" w:eastAsia="宋体" w:cs="宋体"/>
          <w:color w:val="auto"/>
          <w:kern w:val="1"/>
          <w:sz w:val="24"/>
          <w:szCs w:val="24"/>
          <w:highlight w:val="none"/>
          <w:lang w:val="en-US" w:eastAsia="zh-CN"/>
        </w:rPr>
        <w:t>和1台500KVA</w:t>
      </w:r>
      <w:r>
        <w:rPr>
          <w:rFonts w:hint="eastAsia" w:ascii="宋体" w:hAnsi="宋体" w:eastAsia="宋体" w:cs="宋体"/>
          <w:color w:val="auto"/>
          <w:kern w:val="1"/>
          <w:sz w:val="24"/>
          <w:szCs w:val="24"/>
          <w:highlight w:val="none"/>
          <w:lang w:eastAsia="zh-CN"/>
        </w:rPr>
        <w:t>浸式变压器）。高压柜</w:t>
      </w:r>
      <w:r>
        <w:rPr>
          <w:rFonts w:hint="eastAsia" w:ascii="宋体" w:hAnsi="宋体" w:eastAsia="宋体" w:cs="宋体"/>
          <w:color w:val="auto"/>
          <w:kern w:val="1"/>
          <w:sz w:val="24"/>
          <w:szCs w:val="24"/>
          <w:highlight w:val="none"/>
          <w:lang w:val="en-US" w:eastAsia="zh-CN"/>
        </w:rPr>
        <w:t>42面</w:t>
      </w:r>
      <w:r>
        <w:rPr>
          <w:rFonts w:hint="eastAsia" w:ascii="宋体" w:hAnsi="宋体" w:eastAsia="宋体" w:cs="宋体"/>
          <w:color w:val="auto"/>
          <w:kern w:val="1"/>
          <w:sz w:val="24"/>
          <w:szCs w:val="24"/>
          <w:highlight w:val="none"/>
          <w:lang w:eastAsia="zh-CN"/>
        </w:rPr>
        <w:t>、低压柜</w:t>
      </w:r>
      <w:r>
        <w:rPr>
          <w:rFonts w:hint="eastAsia" w:ascii="宋体" w:hAnsi="宋体" w:eastAsia="宋体" w:cs="宋体"/>
          <w:color w:val="auto"/>
          <w:kern w:val="1"/>
          <w:sz w:val="24"/>
          <w:szCs w:val="24"/>
          <w:highlight w:val="none"/>
          <w:lang w:val="en-US" w:eastAsia="zh-CN"/>
        </w:rPr>
        <w:t>89面</w:t>
      </w:r>
      <w:r>
        <w:rPr>
          <w:rFonts w:hint="eastAsia" w:ascii="宋体" w:hAnsi="宋体" w:eastAsia="宋体" w:cs="宋体"/>
          <w:color w:val="auto"/>
          <w:kern w:val="1"/>
          <w:sz w:val="24"/>
          <w:szCs w:val="24"/>
          <w:highlight w:val="none"/>
          <w:lang w:eastAsia="zh-CN"/>
        </w:rPr>
        <w:t>，绝缘工具，真空断路器，电压/电流表，避雷器的绝缘，母线槽（</w:t>
      </w:r>
      <w:r>
        <w:rPr>
          <w:rFonts w:hint="eastAsia" w:ascii="宋体" w:hAnsi="宋体" w:eastAsia="宋体" w:cs="宋体"/>
          <w:color w:val="auto"/>
          <w:kern w:val="1"/>
          <w:sz w:val="24"/>
          <w:szCs w:val="24"/>
          <w:highlight w:val="none"/>
          <w:lang w:val="en-US" w:eastAsia="zh-CN"/>
        </w:rPr>
        <w:t>晋阳</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3组*120米，母线槽（天府）7组*10米，直流屏（4组），高压环网柜（16组），高压主供开关（2组）。</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val="en-US" w:eastAsia="zh-CN"/>
        </w:rPr>
      </w:pPr>
    </w:p>
    <w:p>
      <w:pPr>
        <w:pStyle w:val="2"/>
        <w:keepNext w:val="0"/>
        <w:keepLines w:val="0"/>
        <w:pageBreakBefore w:val="0"/>
        <w:numPr>
          <w:ilvl w:val="0"/>
          <w:numId w:val="0"/>
        </w:numPr>
        <w:kinsoku/>
        <w:wordWrap/>
        <w:overflowPunct/>
        <w:topLinePunct w:val="0"/>
        <w:bidi w:val="0"/>
        <w:spacing w:line="360" w:lineRule="auto"/>
        <w:rPr>
          <w:rFonts w:hint="eastAsia" w:ascii="宋体" w:hAnsi="宋体" w:eastAsia="宋体" w:cs="宋体"/>
          <w:b/>
          <w:bCs/>
          <w:color w:val="auto"/>
          <w:kern w:val="1"/>
          <w:sz w:val="24"/>
          <w:szCs w:val="24"/>
          <w:highlight w:val="none"/>
          <w:lang w:val="en-US" w:eastAsia="zh-CN"/>
        </w:rPr>
      </w:pPr>
      <w:r>
        <w:rPr>
          <w:rFonts w:hint="eastAsia" w:ascii="宋体" w:hAnsi="宋体" w:eastAsia="宋体" w:cs="宋体"/>
          <w:b/>
          <w:bCs/>
          <w:color w:val="auto"/>
          <w:kern w:val="1"/>
          <w:sz w:val="24"/>
          <w:szCs w:val="24"/>
          <w:highlight w:val="none"/>
          <w:lang w:val="en-US" w:eastAsia="zh-CN"/>
        </w:rPr>
        <w:t>三、更换配件和租用发电机数量。</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bCs w:val="0"/>
          <w:color w:val="auto"/>
          <w:kern w:val="1"/>
          <w:sz w:val="24"/>
          <w:szCs w:val="24"/>
          <w:highlight w:val="none"/>
          <w:lang w:val="en-US" w:eastAsia="zh-CN"/>
        </w:rPr>
      </w:pPr>
      <w:r>
        <w:rPr>
          <w:rFonts w:hint="eastAsia" w:ascii="宋体" w:hAnsi="宋体" w:eastAsia="宋体" w:cs="宋体"/>
          <w:b w:val="0"/>
          <w:bCs w:val="0"/>
          <w:color w:val="auto"/>
          <w:kern w:val="1"/>
          <w:sz w:val="24"/>
          <w:szCs w:val="24"/>
          <w:highlight w:val="none"/>
          <w:lang w:val="en-US" w:eastAsia="zh-CN"/>
        </w:rPr>
        <w:t>配电室晋阳院区1面计量柜，更换仪表（50个）</w:t>
      </w:r>
      <w:r>
        <w:rPr>
          <w:rFonts w:hint="eastAsia" w:ascii="宋体" w:hAnsi="宋体" w:eastAsia="宋体" w:cs="宋体"/>
          <w:b w:val="0"/>
          <w:bCs w:val="0"/>
          <w:color w:val="auto"/>
          <w:kern w:val="1"/>
          <w:sz w:val="24"/>
          <w:szCs w:val="24"/>
          <w:highlight w:val="none"/>
          <w:lang w:eastAsia="zh-CN"/>
        </w:rPr>
        <w:t>耐压试验以及高低配电室设施设备检修维护，</w:t>
      </w:r>
      <w:r>
        <w:rPr>
          <w:rFonts w:hint="eastAsia" w:ascii="宋体" w:hAnsi="宋体" w:eastAsia="宋体" w:cs="宋体"/>
          <w:b w:val="0"/>
          <w:bCs w:val="0"/>
          <w:color w:val="auto"/>
          <w:kern w:val="1"/>
          <w:sz w:val="24"/>
          <w:szCs w:val="24"/>
          <w:highlight w:val="none"/>
          <w:lang w:val="en-US" w:eastAsia="zh-CN"/>
        </w:rPr>
        <w:t>更换晋阳院区主供充气环网柜（ABB）。更换主供（6530）充气环网柜（ABB），更换一体电容更换（20个），发电机500KW静音发电机9台，天府院区800KW静音发电机。</w:t>
      </w:r>
    </w:p>
    <w:p>
      <w:pPr>
        <w:pStyle w:val="2"/>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bCs w:val="0"/>
          <w:color w:val="auto"/>
          <w:kern w:val="1"/>
          <w:sz w:val="24"/>
          <w:szCs w:val="24"/>
          <w:highlight w:val="none"/>
          <w:lang w:val="en-US" w:eastAsia="zh-CN"/>
        </w:rPr>
      </w:pPr>
    </w:p>
    <w:p>
      <w:pPr>
        <w:keepNext w:val="0"/>
        <w:keepLines w:val="0"/>
        <w:pageBreakBefore w:val="0"/>
        <w:kinsoku/>
        <w:wordWrap/>
        <w:overflowPunct/>
        <w:topLinePunct w:val="0"/>
        <w:bidi w:val="0"/>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、工程方案与施工要求</w:t>
      </w:r>
    </w:p>
    <w:p>
      <w:pPr>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（一）工程要求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1.分段停电检修。</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2.先停主供，低压负载由发电机供电。高压和变压器实施检修测试。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3.停发电机，低压负载由2#市电备供电供电。1.2期低压分段运行交换检修。</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4.在整个过程中，检修人员必须持证挂牌上岗，严格按照规程规范作业。</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5.各设备完成试验检测后，须取得技术质量监督局认可的合格证备查。</w:t>
      </w:r>
    </w:p>
    <w:p>
      <w:pPr>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（二）检测依据</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根据《电力设备预防性试验规程》、《继电保护和电网安全自动装置检验规程》和《继电保护和电网安全自动装置试验方法》，按照规定每年需要对全院高压系统进行一次预防性检修、检测。以便及时发现设备潜在的缺陷或隐患；例如绕组直流电阻、绝缘电阻、介质损耗因数、直流泄漏、直流耐压、交流耐压、绝缘油试验等。</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1"/>
          <w:sz w:val="24"/>
          <w:szCs w:val="24"/>
          <w:highlight w:val="none"/>
          <w:lang w:val="en-US" w:eastAsia="zh-CN"/>
        </w:rPr>
        <w:t>五、检测维护</w:t>
      </w:r>
      <w:r>
        <w:rPr>
          <w:rFonts w:hint="eastAsia" w:ascii="宋体" w:hAnsi="宋体" w:eastAsia="宋体" w:cs="宋体"/>
          <w:b/>
          <w:bCs/>
          <w:color w:val="auto"/>
          <w:kern w:val="1"/>
          <w:sz w:val="24"/>
          <w:szCs w:val="24"/>
          <w:highlight w:val="none"/>
          <w:lang w:eastAsia="zh-CN"/>
        </w:rPr>
        <w:t>保养要求</w:t>
      </w:r>
      <w:r>
        <w:rPr>
          <w:rFonts w:hint="eastAsia" w:ascii="宋体" w:hAnsi="宋体" w:eastAsia="宋体" w:cs="宋体"/>
          <w:color w:val="auto"/>
          <w:kern w:val="1"/>
          <w:sz w:val="24"/>
          <w:szCs w:val="24"/>
          <w:highlight w:val="none"/>
          <w:lang w:eastAsia="zh-CN"/>
        </w:rPr>
        <w:t>。</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eastAsia="zh-CN"/>
        </w:rPr>
        <w:t>为保障</w:t>
      </w:r>
      <w:r>
        <w:rPr>
          <w:rFonts w:hint="eastAsia" w:ascii="宋体" w:hAnsi="宋体" w:eastAsia="宋体" w:cs="宋体"/>
          <w:color w:val="auto"/>
          <w:kern w:val="1"/>
          <w:sz w:val="24"/>
          <w:szCs w:val="24"/>
          <w:highlight w:val="none"/>
          <w:lang w:val="en-US" w:eastAsia="zh-CN"/>
        </w:rPr>
        <w:t>招标人</w:t>
      </w:r>
      <w:r>
        <w:rPr>
          <w:rFonts w:hint="eastAsia" w:ascii="宋体" w:hAnsi="宋体" w:eastAsia="宋体" w:cs="宋体"/>
          <w:color w:val="auto"/>
          <w:kern w:val="1"/>
          <w:sz w:val="24"/>
          <w:szCs w:val="24"/>
          <w:highlight w:val="none"/>
          <w:lang w:eastAsia="zh-CN"/>
        </w:rPr>
        <w:t>供</w:t>
      </w:r>
      <w:r>
        <w:rPr>
          <w:rFonts w:hint="eastAsia" w:ascii="宋体" w:hAnsi="宋体" w:eastAsia="宋体" w:cs="宋体"/>
          <w:color w:val="auto"/>
          <w:kern w:val="1"/>
          <w:sz w:val="24"/>
          <w:szCs w:val="24"/>
          <w:highlight w:val="none"/>
          <w:lang w:val="en-US" w:eastAsia="zh-CN"/>
        </w:rPr>
        <w:t>配</w:t>
      </w:r>
      <w:r>
        <w:rPr>
          <w:rFonts w:hint="eastAsia" w:ascii="宋体" w:hAnsi="宋体" w:eastAsia="宋体" w:cs="宋体"/>
          <w:color w:val="auto"/>
          <w:kern w:val="1"/>
          <w:sz w:val="24"/>
          <w:szCs w:val="24"/>
          <w:highlight w:val="none"/>
          <w:lang w:eastAsia="zh-CN"/>
        </w:rPr>
        <w:t>电</w:t>
      </w:r>
      <w:r>
        <w:rPr>
          <w:rFonts w:hint="eastAsia" w:ascii="宋体" w:hAnsi="宋体" w:eastAsia="宋体" w:cs="宋体"/>
          <w:color w:val="auto"/>
          <w:kern w:val="1"/>
          <w:sz w:val="24"/>
          <w:szCs w:val="24"/>
          <w:highlight w:val="none"/>
          <w:lang w:val="en-US" w:eastAsia="zh-CN"/>
        </w:rPr>
        <w:t>设备设施</w:t>
      </w:r>
      <w:r>
        <w:rPr>
          <w:rFonts w:hint="eastAsia" w:ascii="宋体" w:hAnsi="宋体" w:eastAsia="宋体" w:cs="宋体"/>
          <w:color w:val="auto"/>
          <w:kern w:val="1"/>
          <w:sz w:val="24"/>
          <w:szCs w:val="24"/>
          <w:highlight w:val="none"/>
          <w:lang w:eastAsia="zh-CN"/>
        </w:rPr>
        <w:t>的安全、稳定和可靠，供应商须</w:t>
      </w:r>
      <w:r>
        <w:rPr>
          <w:rFonts w:hint="eastAsia" w:ascii="宋体" w:hAnsi="宋体" w:eastAsia="宋体" w:cs="宋体"/>
          <w:color w:val="auto"/>
          <w:kern w:val="1"/>
          <w:sz w:val="24"/>
          <w:szCs w:val="24"/>
          <w:highlight w:val="none"/>
        </w:rPr>
        <w:t>根据</w:t>
      </w:r>
      <w:r>
        <w:rPr>
          <w:rFonts w:hint="eastAsia" w:ascii="宋体" w:hAnsi="宋体" w:eastAsia="宋体" w:cs="宋体"/>
          <w:color w:val="auto"/>
          <w:kern w:val="1"/>
          <w:sz w:val="24"/>
          <w:szCs w:val="24"/>
          <w:highlight w:val="none"/>
          <w:lang w:val="en-US" w:eastAsia="zh-CN"/>
        </w:rPr>
        <w:t>招标人</w:t>
      </w:r>
      <w:r>
        <w:rPr>
          <w:rFonts w:hint="eastAsia" w:ascii="宋体" w:hAnsi="宋体" w:eastAsia="宋体" w:cs="宋体"/>
          <w:color w:val="auto"/>
          <w:kern w:val="1"/>
          <w:sz w:val="24"/>
          <w:szCs w:val="24"/>
          <w:highlight w:val="none"/>
        </w:rPr>
        <w:t>用电实际情况</w:t>
      </w:r>
      <w:r>
        <w:rPr>
          <w:rFonts w:hint="eastAsia" w:ascii="宋体" w:hAnsi="宋体" w:eastAsia="宋体" w:cs="宋体"/>
          <w:color w:val="auto"/>
          <w:kern w:val="1"/>
          <w:sz w:val="24"/>
          <w:szCs w:val="24"/>
          <w:highlight w:val="none"/>
          <w:lang w:eastAsia="zh-CN"/>
        </w:rPr>
        <w:t>、供配电设备运行状况</w:t>
      </w:r>
      <w:r>
        <w:rPr>
          <w:rFonts w:hint="eastAsia" w:ascii="宋体" w:hAnsi="宋体" w:eastAsia="宋体" w:cs="宋体"/>
          <w:color w:val="auto"/>
          <w:kern w:val="1"/>
          <w:sz w:val="24"/>
          <w:szCs w:val="24"/>
          <w:highlight w:val="none"/>
        </w:rPr>
        <w:t>及</w:t>
      </w:r>
      <w:r>
        <w:rPr>
          <w:rFonts w:hint="eastAsia" w:ascii="宋体" w:hAnsi="宋体" w:eastAsia="宋体" w:cs="宋体"/>
          <w:color w:val="auto"/>
          <w:kern w:val="1"/>
          <w:sz w:val="24"/>
          <w:szCs w:val="24"/>
          <w:highlight w:val="none"/>
          <w:lang w:eastAsia="zh-CN"/>
        </w:rPr>
        <w:t>设备安全</w:t>
      </w:r>
      <w:r>
        <w:rPr>
          <w:rFonts w:hint="eastAsia" w:ascii="宋体" w:hAnsi="宋体" w:eastAsia="宋体" w:cs="宋体"/>
          <w:color w:val="auto"/>
          <w:kern w:val="1"/>
          <w:sz w:val="24"/>
          <w:szCs w:val="24"/>
          <w:highlight w:val="none"/>
        </w:rPr>
        <w:t>需求</w:t>
      </w:r>
      <w:r>
        <w:rPr>
          <w:rFonts w:hint="eastAsia" w:ascii="宋体" w:hAnsi="宋体" w:eastAsia="宋体" w:cs="宋体"/>
          <w:color w:val="auto"/>
          <w:kern w:val="1"/>
          <w:sz w:val="24"/>
          <w:szCs w:val="24"/>
          <w:highlight w:val="none"/>
          <w:lang w:eastAsia="zh-CN"/>
        </w:rPr>
        <w:t>等</w:t>
      </w:r>
      <w:r>
        <w:rPr>
          <w:rFonts w:hint="eastAsia" w:ascii="宋体" w:hAnsi="宋体" w:eastAsia="宋体" w:cs="宋体"/>
          <w:color w:val="auto"/>
          <w:kern w:val="1"/>
          <w:sz w:val="24"/>
          <w:szCs w:val="24"/>
          <w:highlight w:val="none"/>
        </w:rPr>
        <w:t>,</w:t>
      </w:r>
      <w:r>
        <w:rPr>
          <w:rFonts w:hint="eastAsia" w:ascii="宋体" w:hAnsi="宋体" w:eastAsia="宋体" w:cs="宋体"/>
          <w:color w:val="auto"/>
          <w:kern w:val="1"/>
          <w:sz w:val="24"/>
          <w:szCs w:val="24"/>
          <w:highlight w:val="none"/>
          <w:lang w:eastAsia="zh-CN"/>
        </w:rPr>
        <w:t>开展</w:t>
      </w:r>
      <w:r>
        <w:rPr>
          <w:rFonts w:hint="eastAsia" w:ascii="宋体" w:hAnsi="宋体" w:eastAsia="宋体" w:cs="宋体"/>
          <w:color w:val="auto"/>
          <w:kern w:val="1"/>
          <w:sz w:val="24"/>
          <w:szCs w:val="24"/>
          <w:highlight w:val="none"/>
        </w:rPr>
        <w:t>高</w:t>
      </w:r>
      <w:r>
        <w:rPr>
          <w:rFonts w:hint="eastAsia" w:ascii="宋体" w:hAnsi="宋体" w:eastAsia="宋体" w:cs="宋体"/>
          <w:color w:val="auto"/>
          <w:kern w:val="1"/>
          <w:sz w:val="24"/>
          <w:szCs w:val="24"/>
          <w:highlight w:val="none"/>
          <w:lang w:val="en-US" w:eastAsia="zh-CN"/>
        </w:rPr>
        <w:t>低</w:t>
      </w:r>
      <w:r>
        <w:rPr>
          <w:rFonts w:hint="eastAsia" w:ascii="宋体" w:hAnsi="宋体" w:eastAsia="宋体" w:cs="宋体"/>
          <w:color w:val="auto"/>
          <w:kern w:val="1"/>
          <w:sz w:val="24"/>
          <w:szCs w:val="24"/>
          <w:highlight w:val="none"/>
        </w:rPr>
        <w:t>压配电</w:t>
      </w:r>
      <w:r>
        <w:rPr>
          <w:rFonts w:hint="eastAsia" w:ascii="宋体" w:hAnsi="宋体" w:eastAsia="宋体" w:cs="宋体"/>
          <w:color w:val="auto"/>
          <w:kern w:val="1"/>
          <w:sz w:val="24"/>
          <w:szCs w:val="24"/>
          <w:highlight w:val="none"/>
          <w:lang w:val="en-US" w:eastAsia="zh-CN"/>
        </w:rPr>
        <w:t>设施</w:t>
      </w:r>
      <w:r>
        <w:rPr>
          <w:rFonts w:hint="eastAsia" w:ascii="宋体" w:hAnsi="宋体" w:eastAsia="宋体" w:cs="宋体"/>
          <w:color w:val="auto"/>
          <w:kern w:val="1"/>
          <w:sz w:val="24"/>
          <w:szCs w:val="24"/>
          <w:highlight w:val="none"/>
        </w:rPr>
        <w:t>设备系统</w:t>
      </w:r>
      <w:r>
        <w:rPr>
          <w:rFonts w:hint="eastAsia" w:ascii="宋体" w:hAnsi="宋体" w:eastAsia="宋体" w:cs="宋体"/>
          <w:color w:val="auto"/>
          <w:kern w:val="1"/>
          <w:sz w:val="24"/>
          <w:szCs w:val="24"/>
          <w:highlight w:val="none"/>
          <w:lang w:eastAsia="zh-CN"/>
        </w:rPr>
        <w:t>的</w:t>
      </w:r>
      <w:r>
        <w:rPr>
          <w:rFonts w:hint="eastAsia" w:ascii="宋体" w:hAnsi="宋体" w:eastAsia="宋体" w:cs="宋体"/>
          <w:color w:val="auto"/>
          <w:kern w:val="1"/>
          <w:sz w:val="24"/>
          <w:szCs w:val="24"/>
          <w:highlight w:val="none"/>
        </w:rPr>
        <w:t>检测、调试与维护</w:t>
      </w:r>
      <w:r>
        <w:rPr>
          <w:rFonts w:hint="eastAsia" w:ascii="宋体" w:hAnsi="宋体" w:eastAsia="宋体" w:cs="宋体"/>
          <w:color w:val="auto"/>
          <w:kern w:val="1"/>
          <w:sz w:val="24"/>
          <w:szCs w:val="24"/>
          <w:highlight w:val="none"/>
          <w:lang w:eastAsia="zh-CN"/>
        </w:rPr>
        <w:t>服务，</w:t>
      </w:r>
      <w:r>
        <w:rPr>
          <w:rFonts w:hint="eastAsia" w:ascii="宋体" w:hAnsi="宋体" w:eastAsia="宋体" w:cs="宋体"/>
          <w:color w:val="auto"/>
          <w:kern w:val="1"/>
          <w:sz w:val="24"/>
          <w:szCs w:val="24"/>
          <w:highlight w:val="none"/>
          <w:lang w:val="en-US" w:eastAsia="zh-CN"/>
        </w:rPr>
        <w:t>服务</w:t>
      </w:r>
      <w:r>
        <w:rPr>
          <w:rFonts w:hint="eastAsia" w:ascii="宋体" w:hAnsi="宋体" w:eastAsia="宋体" w:cs="宋体"/>
          <w:color w:val="auto"/>
          <w:kern w:val="1"/>
          <w:sz w:val="24"/>
          <w:szCs w:val="24"/>
          <w:highlight w:val="none"/>
        </w:rPr>
        <w:t>项目如下:</w:t>
      </w:r>
    </w:p>
    <w:p>
      <w:pPr>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（一）高压柜及柜内设备</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1．10KV高压系统调试、10KV避雷器测试；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2．变电系统、继电保护调试；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3．10KV接地网测试、10KV母线测试；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4．直流电阻测试:绝缘测试,相关耐压测试；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5．螺栓紧固、一般缺陷的处理；不包括设备材料及更换设备产生的设备费用和其他相关费用；</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6．电气设备防污清扫、补漆以及采取预防小动物的措施；</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7．按规定应维护的其它项目：</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(1)真空断路器(负荷开关)：测试绝缘电阻、测试每相导电回路的电阻、开关整体交流耐压试验、开关断口交流耐压试验等；</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(2)电流、电压互感器：测试绕组的绝缘电阻,交流耐压试验,检査互感器变比；</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(3)绕组连同套管对外壳的交流耐压试验,测试一次绕组的直流电阻,测试的空载电流和空载损耗,检査互感器极性；</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(4)氧化锌避雷器:测试绝缘电阻,测试泄漏电流,测试直流参考电压；阀式避雷器:测量绝缘电阻、测试击穿电压；</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(5)防误操作性能检査；</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(6)操作机构及操作工器具检测。</w:t>
      </w:r>
    </w:p>
    <w:p>
      <w:pPr>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(二)变压器</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1．变压器绕组测试及直流接触电阻；</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2．变压器绕组测试绝缘电阻；</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3．高低压绕组交流耐压试验；</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4．变压器温度保护装置及散热装置检査和试验；</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5．对于中性点要求接地的变压器系统检测接地系统的接地电阻是否符合要求。</w:t>
      </w:r>
    </w:p>
    <w:p>
      <w:pPr>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(三)继电保护装置</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1．单个继电器校验或保护定值校核；</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2．二次回路传动试验；</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3．信号装置调试；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4．二次回路系统保护出口动作传动试验。</w:t>
      </w:r>
    </w:p>
    <w:p>
      <w:pPr>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(四)接地网</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1．测试接地电阻；</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2．检査其外观完好性。</w:t>
      </w:r>
    </w:p>
    <w:p>
      <w:pPr>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(五)低压配电设备</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1．低压开关及母线绝缘测试；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2．低压三投二等系统调试、继电保护调试；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3．接地网调试、直流回路电阻测试；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4．螺栓紧固；一般缺陷的处理,不包括设备材料及更换设备；</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5．电气设备防污清扫、补漆以及采取预防小动物的措施；</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6</w:t>
      </w:r>
      <w:r>
        <w:rPr>
          <w:rFonts w:hint="eastAsia" w:ascii="宋体" w:hAnsi="宋体" w:eastAsia="宋体" w:cs="宋体"/>
          <w:color w:val="auto"/>
          <w:kern w:val="1"/>
          <w:sz w:val="24"/>
          <w:szCs w:val="24"/>
          <w:highlight w:val="none"/>
        </w:rPr>
        <w:t>．无功功率因素巡视及检査(包括400V系统电容器容量检测,无功自动补偿仪自动投切试验)；</w:t>
      </w:r>
    </w:p>
    <w:p>
      <w:pPr>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(六)高压</w:t>
      </w:r>
      <w:r>
        <w:rPr>
          <w:rFonts w:hint="eastAsia" w:ascii="宋体" w:hAnsi="宋体" w:eastAsia="宋体" w:cs="宋体"/>
          <w:color w:val="auto"/>
          <w:kern w:val="1"/>
          <w:sz w:val="24"/>
          <w:szCs w:val="24"/>
          <w:highlight w:val="none"/>
          <w:lang w:val="en-US" w:eastAsia="zh-CN"/>
        </w:rPr>
        <w:t>隔离开关、真空开关、避雷器及高压</w:t>
      </w:r>
      <w:r>
        <w:rPr>
          <w:rFonts w:hint="eastAsia" w:ascii="宋体" w:hAnsi="宋体" w:eastAsia="宋体" w:cs="宋体"/>
          <w:color w:val="auto"/>
          <w:kern w:val="1"/>
          <w:sz w:val="24"/>
          <w:szCs w:val="24"/>
          <w:highlight w:val="none"/>
        </w:rPr>
        <w:t>电缆的检测</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1．高压隔离开关、真空开关、避雷器</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电缆绝缘</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泄漏电流测试；</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2．高压隔离开关、真空开关、避雷器</w:t>
      </w:r>
      <w:r>
        <w:rPr>
          <w:rFonts w:hint="eastAsia" w:ascii="宋体" w:hAnsi="宋体" w:eastAsia="宋体" w:cs="宋体"/>
          <w:color w:val="auto"/>
          <w:kern w:val="1"/>
          <w:sz w:val="24"/>
          <w:szCs w:val="24"/>
          <w:highlight w:val="none"/>
          <w:lang w:val="en-US" w:eastAsia="zh-CN"/>
        </w:rPr>
        <w:t>机构及</w:t>
      </w:r>
      <w:r>
        <w:rPr>
          <w:rFonts w:hint="eastAsia" w:ascii="宋体" w:hAnsi="宋体" w:eastAsia="宋体" w:cs="宋体"/>
          <w:color w:val="auto"/>
          <w:kern w:val="1"/>
          <w:sz w:val="24"/>
          <w:szCs w:val="24"/>
          <w:highlight w:val="none"/>
        </w:rPr>
        <w:t>操作性能检査。</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(七)配电房高压绝缘工器具的</w:t>
      </w:r>
      <w:r>
        <w:rPr>
          <w:rFonts w:hint="eastAsia" w:ascii="宋体" w:hAnsi="宋体" w:eastAsia="宋体" w:cs="宋体"/>
          <w:color w:val="auto"/>
          <w:kern w:val="1"/>
          <w:sz w:val="24"/>
          <w:szCs w:val="24"/>
          <w:highlight w:val="none"/>
          <w:lang w:val="en-US" w:eastAsia="zh-CN"/>
        </w:rPr>
        <w:t>安全性</w:t>
      </w:r>
      <w:r>
        <w:rPr>
          <w:rFonts w:hint="eastAsia" w:ascii="宋体" w:hAnsi="宋体" w:eastAsia="宋体" w:cs="宋体"/>
          <w:color w:val="auto"/>
          <w:kern w:val="1"/>
          <w:sz w:val="24"/>
          <w:szCs w:val="24"/>
          <w:highlight w:val="none"/>
        </w:rPr>
        <w:t>检测</w:t>
      </w:r>
      <w:r>
        <w:rPr>
          <w:rFonts w:hint="eastAsia" w:ascii="宋体" w:hAnsi="宋体" w:eastAsia="宋体" w:cs="宋体"/>
          <w:color w:val="auto"/>
          <w:kern w:val="1"/>
          <w:sz w:val="24"/>
          <w:szCs w:val="24"/>
          <w:highlight w:val="none"/>
          <w:lang w:val="en-US" w:eastAsia="zh-CN"/>
        </w:rPr>
        <w:t>和</w:t>
      </w:r>
      <w:r>
        <w:rPr>
          <w:rFonts w:hint="eastAsia" w:ascii="宋体" w:hAnsi="宋体" w:eastAsia="宋体" w:cs="宋体"/>
          <w:color w:val="auto"/>
          <w:kern w:val="1"/>
          <w:sz w:val="24"/>
          <w:szCs w:val="24"/>
          <w:highlight w:val="none"/>
        </w:rPr>
        <w:t>配电</w:t>
      </w:r>
      <w:r>
        <w:rPr>
          <w:rFonts w:hint="eastAsia" w:ascii="宋体" w:hAnsi="宋体" w:eastAsia="宋体" w:cs="宋体"/>
          <w:color w:val="auto"/>
          <w:kern w:val="1"/>
          <w:sz w:val="24"/>
          <w:szCs w:val="24"/>
          <w:highlight w:val="none"/>
          <w:lang w:val="en-US" w:eastAsia="zh-CN"/>
        </w:rPr>
        <w:t>设施</w:t>
      </w:r>
      <w:r>
        <w:rPr>
          <w:rFonts w:hint="eastAsia" w:ascii="宋体" w:hAnsi="宋体" w:eastAsia="宋体" w:cs="宋体"/>
          <w:color w:val="auto"/>
          <w:kern w:val="1"/>
          <w:sz w:val="24"/>
          <w:szCs w:val="24"/>
          <w:highlight w:val="none"/>
        </w:rPr>
        <w:t>设备调试要求</w:t>
      </w:r>
    </w:p>
    <w:p>
      <w:pPr>
        <w:keepNext w:val="0"/>
        <w:keepLines w:val="0"/>
        <w:pageBreakBefore w:val="0"/>
        <w:numPr>
          <w:ilvl w:val="0"/>
          <w:numId w:val="3"/>
        </w:numPr>
        <w:kinsoku/>
        <w:wordWrap/>
        <w:overflowPunct/>
        <w:topLinePunct w:val="0"/>
        <w:bidi w:val="0"/>
        <w:spacing w:line="360" w:lineRule="auto"/>
        <w:ind w:firstLine="482"/>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调试</w:t>
      </w:r>
      <w:r>
        <w:rPr>
          <w:rFonts w:hint="eastAsia" w:ascii="宋体" w:hAnsi="宋体" w:eastAsia="宋体" w:cs="宋体"/>
          <w:color w:val="auto"/>
          <w:kern w:val="1"/>
          <w:sz w:val="24"/>
          <w:szCs w:val="24"/>
          <w:highlight w:val="none"/>
        </w:rPr>
        <w:t>时间安排:</w:t>
      </w:r>
      <w:r>
        <w:rPr>
          <w:rFonts w:hint="eastAsia" w:ascii="宋体" w:hAnsi="宋体" w:eastAsia="宋体" w:cs="宋体"/>
          <w:color w:val="auto"/>
          <w:kern w:val="1"/>
          <w:sz w:val="24"/>
          <w:szCs w:val="24"/>
          <w:highlight w:val="none"/>
          <w:lang w:eastAsia="zh-CN"/>
        </w:rPr>
        <w:t>经双方协商确定调试时间。</w:t>
      </w:r>
    </w:p>
    <w:p>
      <w:pPr>
        <w:keepNext w:val="0"/>
        <w:keepLines w:val="0"/>
        <w:pageBreakBefore w:val="0"/>
        <w:numPr>
          <w:ilvl w:val="0"/>
          <w:numId w:val="3"/>
        </w:numPr>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招标人</w:t>
      </w:r>
      <w:r>
        <w:rPr>
          <w:rFonts w:hint="eastAsia" w:ascii="宋体" w:hAnsi="宋体" w:eastAsia="宋体" w:cs="宋体"/>
          <w:color w:val="auto"/>
          <w:kern w:val="1"/>
          <w:sz w:val="24"/>
          <w:szCs w:val="24"/>
          <w:highlight w:val="none"/>
        </w:rPr>
        <w:t>准备图纸、高压保护定值单或以前设备试验报告单用于供应商现场使用,工作结束后供应商负责归还,并保证资料的完整性。</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3．高、低压设备由</w:t>
      </w:r>
      <w:r>
        <w:rPr>
          <w:rFonts w:hint="eastAsia" w:ascii="宋体" w:hAnsi="宋体" w:eastAsia="宋体" w:cs="宋体"/>
          <w:color w:val="auto"/>
          <w:kern w:val="1"/>
          <w:sz w:val="24"/>
          <w:szCs w:val="24"/>
          <w:highlight w:val="none"/>
          <w:lang w:val="en-US" w:eastAsia="zh-CN"/>
        </w:rPr>
        <w:t>采购人</w:t>
      </w:r>
      <w:r>
        <w:rPr>
          <w:rFonts w:hint="eastAsia" w:ascii="宋体" w:hAnsi="宋体" w:eastAsia="宋体" w:cs="宋体"/>
          <w:color w:val="auto"/>
          <w:kern w:val="1"/>
          <w:sz w:val="24"/>
          <w:szCs w:val="24"/>
          <w:highlight w:val="none"/>
        </w:rPr>
        <w:t>负责操作停电,供应商测试确认断电后进行施工,工程完工后,由供应商负责送电至高、低压柜。</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4．</w:t>
      </w:r>
      <w:r>
        <w:rPr>
          <w:rFonts w:hint="eastAsia" w:ascii="宋体" w:hAnsi="宋体" w:eastAsia="宋体" w:cs="宋体"/>
          <w:color w:val="auto"/>
          <w:kern w:val="1"/>
          <w:sz w:val="24"/>
          <w:szCs w:val="24"/>
          <w:highlight w:val="none"/>
          <w:lang w:val="en-US" w:eastAsia="zh-CN"/>
        </w:rPr>
        <w:t>设施设备</w:t>
      </w:r>
      <w:r>
        <w:rPr>
          <w:rFonts w:hint="eastAsia" w:ascii="宋体" w:hAnsi="宋体" w:eastAsia="宋体" w:cs="宋体"/>
          <w:color w:val="auto"/>
          <w:kern w:val="1"/>
          <w:sz w:val="24"/>
          <w:szCs w:val="24"/>
          <w:highlight w:val="none"/>
        </w:rPr>
        <w:t>调试检修工</w:t>
      </w:r>
      <w:r>
        <w:rPr>
          <w:rFonts w:hint="eastAsia" w:ascii="宋体" w:hAnsi="宋体" w:eastAsia="宋体" w:cs="宋体"/>
          <w:color w:val="auto"/>
          <w:kern w:val="1"/>
          <w:sz w:val="24"/>
          <w:szCs w:val="24"/>
          <w:highlight w:val="none"/>
          <w:lang w:val="en-US" w:eastAsia="zh-CN"/>
        </w:rPr>
        <w:t>须</w:t>
      </w:r>
      <w:r>
        <w:rPr>
          <w:rFonts w:hint="eastAsia" w:ascii="宋体" w:hAnsi="宋体" w:eastAsia="宋体" w:cs="宋体"/>
          <w:color w:val="auto"/>
          <w:kern w:val="1"/>
          <w:sz w:val="24"/>
          <w:szCs w:val="24"/>
          <w:highlight w:val="none"/>
        </w:rPr>
        <w:t>做到分工明确</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落实责任</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不漏检不误操作</w:t>
      </w:r>
      <w:r>
        <w:rPr>
          <w:rFonts w:hint="eastAsia" w:ascii="宋体" w:hAnsi="宋体" w:eastAsia="宋体" w:cs="宋体"/>
          <w:color w:val="auto"/>
          <w:kern w:val="1"/>
          <w:sz w:val="24"/>
          <w:szCs w:val="24"/>
          <w:highlight w:val="none"/>
        </w:rPr>
        <w:t>,确保</w:t>
      </w:r>
      <w:r>
        <w:rPr>
          <w:rFonts w:hint="eastAsia" w:ascii="宋体" w:hAnsi="宋体" w:eastAsia="宋体" w:cs="宋体"/>
          <w:color w:val="auto"/>
          <w:kern w:val="1"/>
          <w:sz w:val="24"/>
          <w:szCs w:val="24"/>
          <w:highlight w:val="none"/>
          <w:lang w:val="en-US" w:eastAsia="zh-CN"/>
        </w:rPr>
        <w:t>设施设备和调试工作的</w:t>
      </w:r>
      <w:r>
        <w:rPr>
          <w:rFonts w:hint="eastAsia" w:ascii="宋体" w:hAnsi="宋体" w:eastAsia="宋体" w:cs="宋体"/>
          <w:color w:val="auto"/>
          <w:kern w:val="1"/>
          <w:sz w:val="24"/>
          <w:szCs w:val="24"/>
          <w:highlight w:val="none"/>
        </w:rPr>
        <w:t>安全</w:t>
      </w:r>
      <w:r>
        <w:rPr>
          <w:rFonts w:hint="eastAsia" w:ascii="宋体" w:hAnsi="宋体" w:eastAsia="宋体" w:cs="宋体"/>
          <w:color w:val="auto"/>
          <w:kern w:val="1"/>
          <w:sz w:val="24"/>
          <w:szCs w:val="24"/>
          <w:highlight w:val="none"/>
          <w:lang w:eastAsia="zh-CN"/>
        </w:rPr>
        <w:t>。</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5．检修</w:t>
      </w:r>
      <w:r>
        <w:rPr>
          <w:rFonts w:hint="eastAsia" w:ascii="宋体" w:hAnsi="宋体" w:eastAsia="宋体" w:cs="宋体"/>
          <w:color w:val="auto"/>
          <w:kern w:val="1"/>
          <w:sz w:val="24"/>
          <w:szCs w:val="24"/>
          <w:highlight w:val="none"/>
          <w:lang w:eastAsia="zh-CN"/>
        </w:rPr>
        <w:t>调试</w:t>
      </w:r>
      <w:r>
        <w:rPr>
          <w:rFonts w:hint="eastAsia" w:ascii="宋体" w:hAnsi="宋体" w:eastAsia="宋体" w:cs="宋体"/>
          <w:color w:val="auto"/>
          <w:kern w:val="1"/>
          <w:sz w:val="24"/>
          <w:szCs w:val="24"/>
          <w:highlight w:val="none"/>
        </w:rPr>
        <w:t>结束,各组清理好完好工具、材料、仪器仪表,检查设备恢复检修前的状态,特别是不得遗留异物在设备内,清理检修场地。</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6．恢复送电:</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(1)各工作小组人员自检后,进行“互检”</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确保已完成调试任务，无遗漏工具和存在的问题</w:t>
      </w:r>
      <w:r>
        <w:rPr>
          <w:rFonts w:hint="eastAsia" w:ascii="宋体" w:hAnsi="宋体" w:eastAsia="宋体" w:cs="宋体"/>
          <w:color w:val="auto"/>
          <w:kern w:val="1"/>
          <w:sz w:val="24"/>
          <w:szCs w:val="24"/>
          <w:highlight w:val="none"/>
        </w:rPr>
        <w:t>；</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w:t>
      </w:r>
      <w:r>
        <w:rPr>
          <w:rFonts w:hint="eastAsia" w:ascii="宋体" w:hAnsi="宋体" w:eastAsia="宋体" w:cs="宋体"/>
          <w:color w:val="auto"/>
          <w:kern w:val="1"/>
          <w:sz w:val="24"/>
          <w:szCs w:val="24"/>
          <w:highlight w:val="none"/>
          <w:lang w:eastAsia="zh-CN"/>
        </w:rPr>
        <w:t>供应商</w:t>
      </w:r>
      <w:r>
        <w:rPr>
          <w:rFonts w:hint="eastAsia" w:ascii="宋体" w:hAnsi="宋体" w:eastAsia="宋体" w:cs="宋体"/>
          <w:color w:val="auto"/>
          <w:kern w:val="1"/>
          <w:sz w:val="24"/>
          <w:szCs w:val="24"/>
          <w:highlight w:val="none"/>
        </w:rPr>
        <w:t>负责人带领各</w:t>
      </w:r>
      <w:r>
        <w:rPr>
          <w:rFonts w:hint="eastAsia" w:ascii="宋体" w:hAnsi="宋体" w:eastAsia="宋体" w:cs="宋体"/>
          <w:color w:val="auto"/>
          <w:kern w:val="1"/>
          <w:sz w:val="24"/>
          <w:szCs w:val="24"/>
          <w:highlight w:val="none"/>
          <w:lang w:val="en-US" w:eastAsia="zh-CN"/>
        </w:rPr>
        <w:t>小组</w:t>
      </w:r>
      <w:r>
        <w:rPr>
          <w:rFonts w:hint="eastAsia" w:ascii="宋体" w:hAnsi="宋体" w:eastAsia="宋体" w:cs="宋体"/>
          <w:color w:val="auto"/>
          <w:kern w:val="1"/>
          <w:sz w:val="24"/>
          <w:szCs w:val="24"/>
          <w:highlight w:val="none"/>
        </w:rPr>
        <w:t>负责人进行最终检査,确认无误</w:t>
      </w:r>
      <w:r>
        <w:rPr>
          <w:rFonts w:hint="eastAsia" w:ascii="宋体" w:hAnsi="宋体" w:eastAsia="宋体" w:cs="宋体"/>
          <w:color w:val="auto"/>
          <w:kern w:val="1"/>
          <w:sz w:val="24"/>
          <w:szCs w:val="24"/>
          <w:highlight w:val="none"/>
          <w:lang w:val="en-US" w:eastAsia="zh-CN"/>
        </w:rPr>
        <w:t>后</w:t>
      </w:r>
      <w:r>
        <w:rPr>
          <w:rFonts w:hint="eastAsia" w:ascii="宋体" w:hAnsi="宋体" w:eastAsia="宋体" w:cs="宋体"/>
          <w:color w:val="auto"/>
          <w:kern w:val="1"/>
          <w:sz w:val="24"/>
          <w:szCs w:val="24"/>
          <w:highlight w:val="none"/>
        </w:rPr>
        <w:t>移交运行管理人员验收,验收合格并关好所有设备门。</w:t>
      </w:r>
    </w:p>
    <w:p>
      <w:pPr>
        <w:keepNext w:val="0"/>
        <w:keepLines w:val="0"/>
        <w:pageBreakBefore w:val="0"/>
        <w:kinsoku/>
        <w:wordWrap/>
        <w:overflowPunct/>
        <w:topLinePunct w:val="0"/>
        <w:bidi w:val="0"/>
        <w:spacing w:line="360" w:lineRule="auto"/>
        <w:ind w:firstLine="482"/>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w:t>
      </w:r>
      <w:r>
        <w:rPr>
          <w:rFonts w:hint="eastAsia" w:ascii="宋体" w:hAnsi="宋体" w:eastAsia="宋体" w:cs="宋体"/>
          <w:color w:val="auto"/>
          <w:kern w:val="1"/>
          <w:sz w:val="24"/>
          <w:szCs w:val="24"/>
          <w:highlight w:val="none"/>
          <w:lang w:val="en-US" w:eastAsia="zh-CN"/>
        </w:rPr>
        <w:t>招标人配合</w:t>
      </w:r>
      <w:r>
        <w:rPr>
          <w:rFonts w:hint="eastAsia" w:ascii="宋体" w:hAnsi="宋体" w:eastAsia="宋体" w:cs="宋体"/>
          <w:color w:val="auto"/>
          <w:kern w:val="1"/>
          <w:sz w:val="24"/>
          <w:szCs w:val="24"/>
          <w:highlight w:val="none"/>
          <w:lang w:eastAsia="zh-CN"/>
        </w:rPr>
        <w:t>供应商</w:t>
      </w:r>
      <w:r>
        <w:rPr>
          <w:rFonts w:hint="eastAsia" w:ascii="宋体" w:hAnsi="宋体" w:eastAsia="宋体" w:cs="宋体"/>
          <w:color w:val="auto"/>
          <w:kern w:val="1"/>
          <w:sz w:val="24"/>
          <w:szCs w:val="24"/>
          <w:highlight w:val="none"/>
        </w:rPr>
        <w:t>按规范操作程序进行送电,</w:t>
      </w:r>
      <w:r>
        <w:rPr>
          <w:rFonts w:hint="eastAsia" w:ascii="宋体" w:hAnsi="宋体" w:eastAsia="宋体" w:cs="宋体"/>
          <w:color w:val="auto"/>
          <w:kern w:val="1"/>
          <w:sz w:val="24"/>
          <w:szCs w:val="24"/>
          <w:highlight w:val="none"/>
          <w:lang w:val="en-US" w:eastAsia="zh-CN"/>
        </w:rPr>
        <w:t>送电后检查仪表显示、检测电源质量</w:t>
      </w:r>
      <w:r>
        <w:rPr>
          <w:rFonts w:hint="eastAsia" w:ascii="宋体" w:hAnsi="宋体" w:eastAsia="宋体" w:cs="宋体"/>
          <w:color w:val="auto"/>
          <w:kern w:val="1"/>
          <w:sz w:val="24"/>
          <w:szCs w:val="24"/>
          <w:highlight w:val="none"/>
        </w:rPr>
        <w:t>,</w:t>
      </w:r>
      <w:r>
        <w:rPr>
          <w:rFonts w:hint="eastAsia" w:ascii="宋体" w:hAnsi="宋体" w:eastAsia="宋体" w:cs="宋体"/>
          <w:color w:val="auto"/>
          <w:kern w:val="1"/>
          <w:sz w:val="24"/>
          <w:szCs w:val="24"/>
          <w:highlight w:val="none"/>
          <w:lang w:val="en-US" w:eastAsia="zh-CN"/>
        </w:rPr>
        <w:t>确保</w:t>
      </w:r>
      <w:r>
        <w:rPr>
          <w:rFonts w:hint="eastAsia" w:ascii="宋体" w:hAnsi="宋体" w:eastAsia="宋体" w:cs="宋体"/>
          <w:color w:val="auto"/>
          <w:kern w:val="1"/>
          <w:sz w:val="24"/>
          <w:szCs w:val="24"/>
          <w:highlight w:val="none"/>
        </w:rPr>
        <w:t>相序</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电压等</w:t>
      </w:r>
      <w:r>
        <w:rPr>
          <w:rFonts w:hint="eastAsia" w:ascii="宋体" w:hAnsi="宋体" w:eastAsia="宋体" w:cs="宋体"/>
          <w:color w:val="auto"/>
          <w:kern w:val="1"/>
          <w:sz w:val="24"/>
          <w:szCs w:val="24"/>
          <w:highlight w:val="none"/>
        </w:rPr>
        <w:t>正确</w:t>
      </w:r>
      <w:r>
        <w:rPr>
          <w:rFonts w:hint="eastAsia" w:ascii="宋体" w:hAnsi="宋体" w:eastAsia="宋体" w:cs="宋体"/>
          <w:color w:val="auto"/>
          <w:kern w:val="1"/>
          <w:sz w:val="24"/>
          <w:szCs w:val="24"/>
          <w:highlight w:val="none"/>
          <w:lang w:val="en-US" w:eastAsia="zh-CN"/>
        </w:rPr>
        <w:t>无误，</w:t>
      </w:r>
      <w:r>
        <w:rPr>
          <w:rFonts w:hint="eastAsia" w:ascii="宋体" w:hAnsi="宋体" w:eastAsia="宋体" w:cs="宋体"/>
          <w:color w:val="auto"/>
          <w:kern w:val="1"/>
          <w:sz w:val="24"/>
          <w:szCs w:val="24"/>
          <w:highlight w:val="none"/>
        </w:rPr>
        <w:t>方</w:t>
      </w:r>
      <w:r>
        <w:rPr>
          <w:rFonts w:hint="eastAsia" w:ascii="宋体" w:hAnsi="宋体" w:eastAsia="宋体" w:cs="宋体"/>
          <w:color w:val="auto"/>
          <w:kern w:val="1"/>
          <w:sz w:val="24"/>
          <w:szCs w:val="24"/>
          <w:highlight w:val="none"/>
          <w:lang w:val="en-US" w:eastAsia="zh-CN"/>
        </w:rPr>
        <w:t>可完成调试工作</w:t>
      </w:r>
      <w:r>
        <w:rPr>
          <w:rFonts w:hint="eastAsia" w:ascii="宋体" w:hAnsi="宋体" w:eastAsia="宋体" w:cs="宋体"/>
          <w:color w:val="auto"/>
          <w:kern w:val="1"/>
          <w:sz w:val="24"/>
          <w:szCs w:val="24"/>
          <w:highlight w:val="none"/>
        </w:rPr>
        <w:t>。</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rPr>
        <w:t>(七)</w:t>
      </w:r>
      <w:r>
        <w:rPr>
          <w:rFonts w:hint="eastAsia" w:ascii="宋体" w:hAnsi="宋体" w:eastAsia="宋体" w:cs="宋体"/>
          <w:color w:val="auto"/>
          <w:kern w:val="1"/>
          <w:sz w:val="24"/>
          <w:szCs w:val="24"/>
          <w:highlight w:val="none"/>
          <w:lang w:val="en-US" w:eastAsia="zh-CN"/>
        </w:rPr>
        <w:t>日常巡查巡检。</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1.服务期间对我院3个院区内，用电设备每月两次全覆盖巡查巡检。</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2.服务期内，服务单位需要保障设备抢修工作。要求（2500A、1600A和1000A）母线槽、重要开关和电缆进行备货。</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（八）公司要求：</w:t>
      </w:r>
    </w:p>
    <w:p>
      <w:pPr>
        <w:pStyle w:val="2"/>
        <w:keepNext w:val="0"/>
        <w:keepLines w:val="0"/>
        <w:pageBreakBefore w:val="0"/>
        <w:kinsoku/>
        <w:wordWrap/>
        <w:overflowPunct/>
        <w:topLinePunct w:val="0"/>
        <w:bidi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详见正文。</w:t>
      </w:r>
    </w:p>
    <w:p>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、商务要求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1.服务期限：2年，合同一年一签，经采购人对供应商年度维保情况考核合格后，方可签订下年合同。供应商在供配电设施设备维护保养期间，需储存合理数量的设备原厂配件和设施零件。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2.服务地点：</w:t>
      </w:r>
      <w:r>
        <w:rPr>
          <w:rFonts w:hint="eastAsia" w:ascii="宋体" w:hAnsi="宋体" w:eastAsia="宋体" w:cs="宋体"/>
          <w:b w:val="0"/>
          <w:bCs w:val="0"/>
          <w:color w:val="auto"/>
          <w:sz w:val="24"/>
          <w:szCs w:val="24"/>
          <w:highlight w:val="none"/>
          <w:lang w:val="en-US" w:eastAsia="zh-CN"/>
        </w:rPr>
        <w:t>成都市武侯区沙堰西二街290号、成都市金牛区抚琴西路338号、成都市双流区岐黄二路1515号</w:t>
      </w:r>
      <w:r>
        <w:rPr>
          <w:rFonts w:hint="eastAsia" w:ascii="宋体" w:hAnsi="宋体" w:eastAsia="宋体" w:cs="宋体"/>
          <w:color w:val="auto"/>
          <w:kern w:val="1"/>
          <w:sz w:val="24"/>
          <w:szCs w:val="24"/>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3.款项支付：试验工程结束后，投标人应在十五天内向甲方移交试验报告单，并出具合法有效增值税发票，甲方核实准确后，按工程价款金额一次性支付给乙方。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4.请拟参与的供应商自行踏勘现场，结合自身情况自主报价，报价应为包干含税价。</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bidi="ar-SA"/>
        </w:rPr>
        <w:t>5.项目最高限价：</w:t>
      </w:r>
      <w:r>
        <w:rPr>
          <w:rFonts w:hint="eastAsia" w:ascii="宋体" w:hAnsi="宋体" w:eastAsia="宋体" w:cs="宋体"/>
          <w:color w:val="auto"/>
          <w:kern w:val="1"/>
          <w:sz w:val="24"/>
          <w:szCs w:val="24"/>
          <w:highlight w:val="none"/>
          <w:lang w:val="en-US" w:eastAsia="zh-CN"/>
        </w:rPr>
        <w:t>300000.00元/年。</w:t>
      </w: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综合评分表</w:t>
      </w: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1.由招标小组组织成立评审委员会，对投标文件进行综合评审。 </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2.评审方法</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本项目采用综合评分法，评审小组将对各投标人的投标方案、各项报价、企业综合能力、对项目的投入等方面进行综合评审，对实质上响应招标文件的投标人，根据符合采购需求、质量和服务相等且最后得分最高原则确定成交供应商。</w:t>
      </w:r>
    </w:p>
    <w:p>
      <w:pPr>
        <w:keepNext w:val="0"/>
        <w:keepLines w:val="0"/>
        <w:pageBreakBefore w:val="0"/>
        <w:kinsoku/>
        <w:wordWrap/>
        <w:overflowPunct/>
        <w:topLinePunct w:val="0"/>
        <w:bidi w:val="0"/>
        <w:spacing w:line="360" w:lineRule="auto"/>
        <w:rPr>
          <w:rFonts w:hint="eastAsia" w:ascii="宋体" w:hAnsi="宋体" w:eastAsia="宋体" w:cs="宋体"/>
          <w:b/>
          <w:color w:val="auto"/>
          <w:kern w:val="1"/>
          <w:sz w:val="24"/>
          <w:szCs w:val="24"/>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sectPr>
      </w:pPr>
      <w:r>
        <w:rPr>
          <w:rFonts w:hint="eastAsia" w:ascii="宋体" w:hAnsi="宋体" w:eastAsia="宋体" w:cs="宋体"/>
          <w:b w:val="0"/>
          <w:i w:val="0"/>
          <w:caps w:val="0"/>
          <w:color w:val="auto"/>
          <w:spacing w:val="0"/>
          <w:w w:val="100"/>
          <w:sz w:val="24"/>
          <w:szCs w:val="24"/>
          <w:highlight w:val="none"/>
          <w:lang w:eastAsia="zh-CN"/>
        </w:rPr>
        <w:t>不正当竞争预防措施：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注：供应商报价低于最高限价</w:t>
      </w:r>
      <w:r>
        <w:rPr>
          <w:rFonts w:hint="eastAsia" w:ascii="宋体" w:hAnsi="宋体" w:eastAsia="宋体" w:cs="宋体"/>
          <w:b w:val="0"/>
          <w:i w:val="0"/>
          <w:caps w:val="0"/>
          <w:color w:val="auto"/>
          <w:spacing w:val="0"/>
          <w:w w:val="100"/>
          <w:sz w:val="24"/>
          <w:szCs w:val="24"/>
          <w:highlight w:val="none"/>
          <w:lang w:val="en-US" w:eastAsia="zh-CN"/>
        </w:rPr>
        <w:t>85</w:t>
      </w:r>
      <w:r>
        <w:rPr>
          <w:rFonts w:hint="eastAsia" w:ascii="宋体" w:hAnsi="宋体" w:eastAsia="宋体" w:cs="宋体"/>
          <w:b w:val="0"/>
          <w:i w:val="0"/>
          <w:caps w:val="0"/>
          <w:color w:val="auto"/>
          <w:spacing w:val="0"/>
          <w:w w:val="100"/>
          <w:sz w:val="24"/>
          <w:szCs w:val="24"/>
          <w:highlight w:val="none"/>
          <w:lang w:eastAsia="zh-CN"/>
        </w:rPr>
        <w:t>%或者低于其他有效供应商报价算术平均价9</w:t>
      </w:r>
      <w:r>
        <w:rPr>
          <w:rFonts w:hint="eastAsia" w:ascii="宋体" w:hAnsi="宋体" w:eastAsia="宋体" w:cs="宋体"/>
          <w:b w:val="0"/>
          <w:i w:val="0"/>
          <w:caps w:val="0"/>
          <w:color w:val="auto"/>
          <w:spacing w:val="0"/>
          <w:w w:val="100"/>
          <w:sz w:val="24"/>
          <w:szCs w:val="24"/>
          <w:highlight w:val="none"/>
          <w:lang w:val="en-US" w:eastAsia="zh-CN"/>
        </w:rPr>
        <w:t>0</w:t>
      </w:r>
      <w:r>
        <w:rPr>
          <w:rFonts w:hint="eastAsia" w:ascii="宋体" w:hAnsi="宋体" w:eastAsia="宋体" w:cs="宋体"/>
          <w:b w:val="0"/>
          <w:i w:val="0"/>
          <w:caps w:val="0"/>
          <w:color w:val="auto"/>
          <w:spacing w:val="0"/>
          <w:w w:val="100"/>
          <w:sz w:val="24"/>
          <w:szCs w:val="24"/>
          <w:highlight w:val="none"/>
          <w:lang w:eastAsia="zh-CN"/>
        </w:rPr>
        <w:t>%的，磋商小组可以认为该供应商“报价明显低于其他实质性响应的供应商报价”。）根据</w:t>
      </w:r>
      <w:r>
        <w:rPr>
          <w:rFonts w:hint="eastAsia" w:ascii="宋体" w:hAnsi="宋体" w:eastAsia="宋体" w:cs="宋体"/>
          <w:b w:val="0"/>
          <w:i w:val="0"/>
          <w:caps w:val="0"/>
          <w:color w:val="auto"/>
          <w:spacing w:val="0"/>
          <w:w w:val="100"/>
          <w:sz w:val="24"/>
          <w:szCs w:val="24"/>
          <w:highlight w:val="none"/>
        </w:rPr>
        <w:t>上述评标原则，分值安排如下：</w:t>
      </w:r>
    </w:p>
    <w:tbl>
      <w:tblPr>
        <w:tblStyle w:val="12"/>
        <w:tblW w:w="8917" w:type="dxa"/>
        <w:jc w:val="center"/>
        <w:tblLayout w:type="fixed"/>
        <w:tblCellMar>
          <w:top w:w="0" w:type="dxa"/>
          <w:left w:w="0" w:type="dxa"/>
          <w:bottom w:w="0" w:type="dxa"/>
          <w:right w:w="0" w:type="dxa"/>
        </w:tblCellMar>
      </w:tblPr>
      <w:tblGrid>
        <w:gridCol w:w="1180"/>
        <w:gridCol w:w="1579"/>
        <w:gridCol w:w="1140"/>
        <w:gridCol w:w="961"/>
        <w:gridCol w:w="4057"/>
      </w:tblGrid>
      <w:tr>
        <w:tblPrEx>
          <w:tblCellMar>
            <w:top w:w="0" w:type="dxa"/>
            <w:left w:w="0" w:type="dxa"/>
            <w:bottom w:w="0" w:type="dxa"/>
            <w:right w:w="0" w:type="dxa"/>
          </w:tblCellMar>
        </w:tblPrEx>
        <w:trPr>
          <w:trHeight w:val="290" w:hRule="atLeast"/>
          <w:jc w:val="center"/>
        </w:trPr>
        <w:tc>
          <w:tcPr>
            <w:tcW w:w="11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w:t>
            </w:r>
          </w:p>
        </w:tc>
        <w:tc>
          <w:tcPr>
            <w:tcW w:w="11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w:t>
            </w:r>
          </w:p>
        </w:tc>
        <w:tc>
          <w:tcPr>
            <w:tcW w:w="96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40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tblPrEx>
          <w:tblCellMar>
            <w:top w:w="0" w:type="dxa"/>
            <w:left w:w="0" w:type="dxa"/>
            <w:bottom w:w="0" w:type="dxa"/>
            <w:right w:w="0" w:type="dxa"/>
          </w:tblCellMar>
        </w:tblPrEx>
        <w:trPr>
          <w:trHeight w:val="1812" w:hRule="atLeast"/>
          <w:jc w:val="center"/>
        </w:trPr>
        <w:tc>
          <w:tcPr>
            <w:tcW w:w="1180"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79"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w:t>
            </w:r>
            <w:r>
              <w:rPr>
                <w:rFonts w:hint="eastAsia" w:ascii="宋体" w:hAnsi="宋体" w:eastAsia="宋体" w:cs="宋体"/>
                <w:color w:val="auto"/>
                <w:sz w:val="24"/>
                <w:szCs w:val="24"/>
                <w:highlight w:val="none"/>
                <w:lang w:eastAsia="zh-CN"/>
              </w:rPr>
              <w:t>人员配置、业绩证明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分）</w:t>
            </w:r>
          </w:p>
        </w:tc>
        <w:tc>
          <w:tcPr>
            <w:tcW w:w="114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项目管理机构评分标准</w:t>
            </w:r>
          </w:p>
        </w:tc>
        <w:tc>
          <w:tcPr>
            <w:tcW w:w="96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40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8"/>
              <w:keepNext w:val="0"/>
              <w:keepLines w:val="0"/>
              <w:pageBreakBefore w:val="0"/>
              <w:numPr>
                <w:ilvl w:val="0"/>
                <w:numId w:val="0"/>
              </w:numPr>
              <w:kinsoku/>
              <w:wordWrap/>
              <w:overflowPunct/>
              <w:topLinePunct w:val="0"/>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numPr>
                <w:ilvl w:val="0"/>
                <w:numId w:val="4"/>
              </w:numPr>
              <w:kinsoku/>
              <w:wordWrap/>
              <w:overflowPunct/>
              <w:topLinePunct w:val="0"/>
              <w:bidi w:val="0"/>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具备输变电工程专</w:t>
            </w:r>
            <w:r>
              <w:rPr>
                <w:rFonts w:hint="eastAsia" w:ascii="宋体" w:hAnsi="宋体" w:eastAsia="宋体" w:cs="宋体"/>
                <w:color w:val="auto"/>
                <w:sz w:val="24"/>
                <w:szCs w:val="24"/>
                <w:highlight w:val="none"/>
                <w:lang w:eastAsia="zh-CN"/>
              </w:rPr>
              <w:t>送变电工程专业</w:t>
            </w:r>
            <w:r>
              <w:rPr>
                <w:rFonts w:hint="eastAsia" w:ascii="宋体" w:hAnsi="宋体" w:eastAsia="宋体" w:cs="宋体"/>
                <w:color w:val="auto"/>
                <w:sz w:val="24"/>
                <w:szCs w:val="24"/>
                <w:highlight w:val="none"/>
              </w:rPr>
              <w:t>承包贰级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电力工程施工总承包叁级</w:t>
            </w:r>
            <w:r>
              <w:rPr>
                <w:rFonts w:hint="eastAsia" w:ascii="宋体" w:hAnsi="宋体" w:eastAsia="宋体" w:cs="宋体"/>
                <w:color w:val="auto"/>
                <w:sz w:val="24"/>
                <w:szCs w:val="24"/>
                <w:highlight w:val="none"/>
              </w:rPr>
              <w:t>及以上资质</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分，本项满分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pStyle w:val="18"/>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color w:val="auto"/>
                <w:sz w:val="24"/>
                <w:szCs w:val="24"/>
                <w:highlight w:val="none"/>
                <w:lang w:val="en-US" w:eastAsia="zh-CN"/>
              </w:rPr>
            </w:pPr>
          </w:p>
        </w:tc>
      </w:tr>
      <w:tr>
        <w:tblPrEx>
          <w:tblCellMar>
            <w:top w:w="0" w:type="dxa"/>
            <w:left w:w="0" w:type="dxa"/>
            <w:bottom w:w="0" w:type="dxa"/>
            <w:right w:w="0" w:type="dxa"/>
          </w:tblCellMar>
        </w:tblPrEx>
        <w:trPr>
          <w:trHeight w:val="3152" w:hRule="atLeast"/>
          <w:jc w:val="center"/>
        </w:trPr>
        <w:tc>
          <w:tcPr>
            <w:tcW w:w="118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579" w:type="dxa"/>
            <w:vMerge w:val="continue"/>
            <w:tcBorders>
              <w:left w:val="nil"/>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14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w:t>
            </w:r>
          </w:p>
        </w:tc>
        <w:tc>
          <w:tcPr>
            <w:tcW w:w="96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40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23"/>
              <w:keepNext w:val="0"/>
              <w:keepLines w:val="0"/>
              <w:pageBreakBefore w:val="0"/>
              <w:numPr>
                <w:ilvl w:val="0"/>
                <w:numId w:val="0"/>
              </w:numPr>
              <w:kinsoku/>
              <w:wordWrap/>
              <w:overflowPunct/>
              <w:topLinePunct w:val="0"/>
              <w:bidi w:val="0"/>
              <w:spacing w:before="1"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CN" w:eastAsia="zh-CN" w:bidi="zh-CN"/>
              </w:rPr>
              <w:t>1、</w:t>
            </w:r>
            <w:r>
              <w:rPr>
                <w:rFonts w:hint="eastAsia" w:ascii="宋体" w:hAnsi="宋体" w:eastAsia="宋体" w:cs="宋体"/>
                <w:color w:val="auto"/>
                <w:sz w:val="24"/>
                <w:szCs w:val="24"/>
                <w:highlight w:val="none"/>
              </w:rPr>
              <w:t>具有机电工程专业</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eastAsia="zh-CN"/>
              </w:rPr>
              <w:t>及以上</w:t>
            </w:r>
            <w:r>
              <w:rPr>
                <w:rFonts w:hint="eastAsia" w:ascii="宋体" w:hAnsi="宋体" w:eastAsia="宋体" w:cs="宋体"/>
                <w:color w:val="auto"/>
                <w:sz w:val="24"/>
                <w:szCs w:val="24"/>
                <w:highlight w:val="none"/>
              </w:rPr>
              <w:t xml:space="preserve">注册建造师资格且具备有效的安全生产考核合格 B 证得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分；具有中级及以上职称</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分；本项满分 </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分。</w:t>
            </w:r>
          </w:p>
          <w:p>
            <w:pPr>
              <w:pStyle w:val="23"/>
              <w:keepNext w:val="0"/>
              <w:keepLines w:val="0"/>
              <w:pageBreakBefore w:val="0"/>
              <w:numPr>
                <w:ilvl w:val="0"/>
                <w:numId w:val="0"/>
              </w:numPr>
              <w:kinsoku/>
              <w:wordWrap/>
              <w:overflowPunct/>
              <w:topLinePunct w:val="0"/>
              <w:bidi w:val="0"/>
              <w:spacing w:before="1" w:line="360" w:lineRule="auto"/>
              <w:ind w:left="4"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CN" w:eastAsia="zh-CN" w:bidi="zh-CN"/>
              </w:rPr>
              <w:t>2、</w:t>
            </w:r>
            <w:r>
              <w:rPr>
                <w:rFonts w:hint="eastAsia" w:ascii="宋体" w:hAnsi="宋体" w:eastAsia="宋体" w:cs="宋体"/>
                <w:color w:val="auto"/>
                <w:sz w:val="24"/>
                <w:szCs w:val="24"/>
                <w:highlight w:val="none"/>
                <w:lang w:eastAsia="zh-CN"/>
              </w:rPr>
              <w:t>其他人员：配备施工员得</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eastAsia="zh-CN"/>
              </w:rPr>
              <w:t>、质量员得</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eastAsia="zh-CN"/>
              </w:rPr>
              <w:t>、安全员得</w:t>
            </w:r>
            <w:r>
              <w:rPr>
                <w:rFonts w:hint="eastAsia" w:ascii="宋体" w:hAnsi="宋体" w:eastAsia="宋体" w:cs="宋体"/>
                <w:color w:val="auto"/>
                <w:sz w:val="24"/>
                <w:szCs w:val="24"/>
                <w:highlight w:val="none"/>
                <w:lang w:val="en-US" w:eastAsia="zh-CN"/>
              </w:rPr>
              <w:t>1分，本项满分3分</w:t>
            </w:r>
            <w:r>
              <w:rPr>
                <w:rFonts w:hint="eastAsia" w:ascii="宋体" w:hAnsi="宋体" w:eastAsia="宋体" w:cs="宋体"/>
                <w:color w:val="auto"/>
                <w:sz w:val="24"/>
                <w:szCs w:val="24"/>
                <w:highlight w:val="none"/>
              </w:rPr>
              <w:t>。</w:t>
            </w:r>
          </w:p>
          <w:p>
            <w:pPr>
              <w:pStyle w:val="23"/>
              <w:keepNext w:val="0"/>
              <w:keepLines w:val="0"/>
              <w:pageBreakBefore w:val="0"/>
              <w:numPr>
                <w:ilvl w:val="0"/>
                <w:numId w:val="0"/>
              </w:numPr>
              <w:kinsoku/>
              <w:wordWrap/>
              <w:overflowPunct/>
              <w:topLinePunct w:val="0"/>
              <w:bidi w:val="0"/>
              <w:spacing w:before="1" w:line="360" w:lineRule="auto"/>
              <w:rPr>
                <w:rFonts w:hint="eastAsia" w:ascii="宋体" w:hAnsi="宋体" w:eastAsia="宋体" w:cs="宋体"/>
                <w:color w:val="auto"/>
                <w:sz w:val="24"/>
                <w:szCs w:val="24"/>
                <w:highlight w:val="none"/>
                <w:lang w:val="en-US" w:eastAsia="zh-CN"/>
              </w:rPr>
            </w:pPr>
          </w:p>
          <w:p>
            <w:pPr>
              <w:pStyle w:val="23"/>
              <w:keepNext w:val="0"/>
              <w:keepLines w:val="0"/>
              <w:pageBreakBefore w:val="0"/>
              <w:kinsoku/>
              <w:wordWrap/>
              <w:overflowPunct/>
              <w:topLinePunct w:val="0"/>
              <w:bidi w:val="0"/>
              <w:spacing w:before="1"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注：所有人员需提供近6个月投标单位在职社保证明。</w:t>
            </w:r>
          </w:p>
        </w:tc>
      </w:tr>
      <w:tr>
        <w:tblPrEx>
          <w:tblCellMar>
            <w:top w:w="0" w:type="dxa"/>
            <w:left w:w="0" w:type="dxa"/>
            <w:bottom w:w="0" w:type="dxa"/>
            <w:right w:w="0" w:type="dxa"/>
          </w:tblCellMar>
        </w:tblPrEx>
        <w:trPr>
          <w:trHeight w:val="1981" w:hRule="atLeast"/>
          <w:jc w:val="center"/>
        </w:trPr>
        <w:tc>
          <w:tcPr>
            <w:tcW w:w="1180" w:type="dxa"/>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579" w:type="dxa"/>
            <w:vMerge w:val="continue"/>
            <w:tcBorders>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14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业绩证明</w:t>
            </w:r>
          </w:p>
        </w:tc>
        <w:tc>
          <w:tcPr>
            <w:tcW w:w="96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40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年内，具有1个</w:t>
            </w:r>
            <w:r>
              <w:rPr>
                <w:rFonts w:hint="eastAsia" w:ascii="宋体" w:hAnsi="宋体" w:eastAsia="宋体" w:cs="宋体"/>
                <w:color w:val="auto"/>
                <w:sz w:val="24"/>
                <w:szCs w:val="24"/>
                <w:highlight w:val="none"/>
                <w:lang w:eastAsia="zh-CN"/>
              </w:rPr>
              <w:t>类似项目业绩（电力</w:t>
            </w:r>
            <w:r>
              <w:rPr>
                <w:rFonts w:hint="eastAsia" w:ascii="宋体" w:hAnsi="宋体" w:eastAsia="宋体" w:cs="宋体"/>
                <w:color w:val="auto"/>
                <w:sz w:val="24"/>
                <w:szCs w:val="24"/>
                <w:highlight w:val="none"/>
                <w:lang w:val="en-US" w:eastAsia="zh-CN"/>
              </w:rPr>
              <w:t>试验检测或维护</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rPr>
              <w:t>2分；</w:t>
            </w:r>
            <w:r>
              <w:rPr>
                <w:rFonts w:hint="eastAsia" w:ascii="宋体" w:hAnsi="宋体" w:eastAsia="宋体" w:cs="宋体"/>
                <w:color w:val="auto"/>
                <w:sz w:val="24"/>
                <w:szCs w:val="24"/>
                <w:highlight w:val="none"/>
                <w:lang w:eastAsia="zh-CN"/>
              </w:rPr>
              <w:t>每增加一个</w:t>
            </w:r>
            <w:r>
              <w:rPr>
                <w:rFonts w:hint="eastAsia" w:ascii="宋体" w:hAnsi="宋体" w:eastAsia="宋体" w:cs="宋体"/>
                <w:color w:val="auto"/>
                <w:sz w:val="24"/>
                <w:szCs w:val="24"/>
                <w:highlight w:val="none"/>
              </w:rPr>
              <w:t>类似项目业绩（</w:t>
            </w:r>
            <w:r>
              <w:rPr>
                <w:rFonts w:hint="eastAsia" w:ascii="宋体" w:hAnsi="宋体" w:eastAsia="宋体" w:cs="宋体"/>
                <w:color w:val="auto"/>
                <w:sz w:val="24"/>
                <w:szCs w:val="24"/>
                <w:highlight w:val="none"/>
                <w:lang w:eastAsia="zh-CN"/>
              </w:rPr>
              <w:t>电力</w:t>
            </w:r>
            <w:r>
              <w:rPr>
                <w:rFonts w:hint="eastAsia" w:ascii="宋体" w:hAnsi="宋体" w:eastAsia="宋体" w:cs="宋体"/>
                <w:color w:val="auto"/>
                <w:sz w:val="24"/>
                <w:szCs w:val="24"/>
                <w:highlight w:val="none"/>
                <w:lang w:val="en-US" w:eastAsia="zh-CN"/>
              </w:rPr>
              <w:t>试验检测或维护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本项满分为</w:t>
            </w:r>
            <w:r>
              <w:rPr>
                <w:rFonts w:hint="eastAsia" w:ascii="宋体" w:hAnsi="宋体" w:eastAsia="宋体" w:cs="宋体"/>
                <w:color w:val="auto"/>
                <w:sz w:val="24"/>
                <w:szCs w:val="24"/>
                <w:highlight w:val="none"/>
                <w:lang w:val="en-US" w:eastAsia="zh-CN"/>
              </w:rPr>
              <w:t>20分。</w:t>
            </w:r>
          </w:p>
          <w:p>
            <w:pPr>
              <w:pStyle w:val="18"/>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p>
          <w:p>
            <w:pPr>
              <w:pStyle w:val="23"/>
              <w:keepNext w:val="0"/>
              <w:keepLines w:val="0"/>
              <w:pageBreakBefore w:val="0"/>
              <w:kinsoku/>
              <w:wordWrap/>
              <w:overflowPunct/>
              <w:topLinePunct w:val="0"/>
              <w:bidi w:val="0"/>
              <w:spacing w:before="1"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注：以参选人提供的中标通知书或合同复印件（加盖鲜章）</w:t>
            </w:r>
            <w:r>
              <w:rPr>
                <w:rFonts w:hint="eastAsia" w:ascii="宋体" w:hAnsi="宋体" w:eastAsia="宋体" w:cs="宋体"/>
                <w:color w:val="auto"/>
                <w:sz w:val="24"/>
                <w:szCs w:val="24"/>
                <w:highlight w:val="none"/>
                <w:lang w:val="en-US" w:eastAsia="zh-CN"/>
              </w:rPr>
              <w:t>或扫描件</w:t>
            </w:r>
            <w:r>
              <w:rPr>
                <w:rFonts w:hint="eastAsia" w:ascii="宋体" w:hAnsi="宋体" w:eastAsia="宋体" w:cs="宋体"/>
                <w:color w:val="auto"/>
                <w:sz w:val="24"/>
                <w:szCs w:val="24"/>
                <w:highlight w:val="none"/>
              </w:rPr>
              <w:t>为准。</w:t>
            </w:r>
          </w:p>
        </w:tc>
      </w:tr>
      <w:tr>
        <w:tblPrEx>
          <w:tblCellMar>
            <w:top w:w="0" w:type="dxa"/>
            <w:left w:w="0" w:type="dxa"/>
            <w:bottom w:w="0" w:type="dxa"/>
            <w:right w:w="0" w:type="dxa"/>
          </w:tblCellMar>
        </w:tblPrEx>
        <w:trPr>
          <w:trHeight w:val="90" w:hRule="atLeast"/>
          <w:jc w:val="center"/>
        </w:trPr>
        <w:tc>
          <w:tcPr>
            <w:tcW w:w="1180" w:type="dxa"/>
            <w:tcBorders>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579" w:type="dxa"/>
            <w:tcBorders>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14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质量管理体系</w:t>
            </w:r>
          </w:p>
        </w:tc>
        <w:tc>
          <w:tcPr>
            <w:tcW w:w="96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40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投标人具备有效的质量体系认证、职业健康安全管理体系文件与环境管理体系文件，每具有1个得4分，最多得12分，提供证书、文件的复印件加盖投标单位公章。</w:t>
            </w:r>
          </w:p>
        </w:tc>
      </w:tr>
      <w:tr>
        <w:tblPrEx>
          <w:tblCellMar>
            <w:top w:w="0" w:type="dxa"/>
            <w:left w:w="0" w:type="dxa"/>
            <w:bottom w:w="0" w:type="dxa"/>
            <w:right w:w="0" w:type="dxa"/>
          </w:tblCellMar>
        </w:tblPrEx>
        <w:trPr>
          <w:trHeight w:val="1122" w:hRule="atLeast"/>
          <w:jc w:val="center"/>
        </w:trPr>
        <w:tc>
          <w:tcPr>
            <w:tcW w:w="1180"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79"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高低压配电电力系统试验检测施工方案、质量保证及服务（</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分）</w:t>
            </w:r>
          </w:p>
        </w:tc>
        <w:tc>
          <w:tcPr>
            <w:tcW w:w="11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主要分项施工方法及进度</w:t>
            </w:r>
          </w:p>
        </w:tc>
        <w:tc>
          <w:tcPr>
            <w:tcW w:w="96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05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对工程项目施工方案与技术措施设置</w:t>
            </w:r>
            <w:r>
              <w:rPr>
                <w:rFonts w:hint="eastAsia" w:ascii="宋体" w:hAnsi="宋体" w:eastAsia="宋体" w:cs="宋体"/>
                <w:color w:val="auto"/>
                <w:sz w:val="24"/>
                <w:szCs w:val="24"/>
                <w:highlight w:val="none"/>
                <w:lang w:eastAsia="zh-CN"/>
              </w:rPr>
              <w:t>详</w:t>
            </w:r>
          </w:p>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尽完善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10-7</w:t>
            </w:r>
            <w:r>
              <w:rPr>
                <w:rFonts w:hint="eastAsia" w:ascii="宋体" w:hAnsi="宋体" w:eastAsia="宋体" w:cs="宋体"/>
                <w:color w:val="auto"/>
                <w:sz w:val="24"/>
                <w:szCs w:val="24"/>
                <w:highlight w:val="none"/>
              </w:rPr>
              <w:t>分；方案编制详细具体、操作性一般得</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分；方案编制差、操作性差得</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tblPrEx>
          <w:tblCellMar>
            <w:top w:w="0" w:type="dxa"/>
            <w:left w:w="0" w:type="dxa"/>
            <w:bottom w:w="0" w:type="dxa"/>
            <w:right w:w="0" w:type="dxa"/>
          </w:tblCellMar>
        </w:tblPrEx>
        <w:trPr>
          <w:trHeight w:val="1078" w:hRule="atLeast"/>
          <w:jc w:val="center"/>
        </w:trPr>
        <w:tc>
          <w:tcPr>
            <w:tcW w:w="118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579"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1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环境保护管理与措施</w:t>
            </w:r>
          </w:p>
        </w:tc>
        <w:tc>
          <w:tcPr>
            <w:tcW w:w="96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（5分）</w:t>
            </w:r>
          </w:p>
        </w:tc>
        <w:tc>
          <w:tcPr>
            <w:tcW w:w="40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环境保护管理体系与措施设置</w:t>
            </w:r>
            <w:r>
              <w:rPr>
                <w:rFonts w:hint="eastAsia" w:ascii="宋体" w:hAnsi="宋体" w:eastAsia="宋体" w:cs="宋体"/>
                <w:color w:val="auto"/>
                <w:sz w:val="24"/>
                <w:szCs w:val="24"/>
                <w:highlight w:val="none"/>
                <w:lang w:eastAsia="zh-CN"/>
              </w:rPr>
              <w:t>详尽完善</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良得</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一般</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分，差得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分，无得0分；</w:t>
            </w:r>
          </w:p>
        </w:tc>
      </w:tr>
      <w:tr>
        <w:tblPrEx>
          <w:tblCellMar>
            <w:top w:w="0" w:type="dxa"/>
            <w:left w:w="0" w:type="dxa"/>
            <w:bottom w:w="0" w:type="dxa"/>
            <w:right w:w="0" w:type="dxa"/>
          </w:tblCellMar>
        </w:tblPrEx>
        <w:trPr>
          <w:trHeight w:val="1867" w:hRule="atLeast"/>
          <w:jc w:val="center"/>
        </w:trPr>
        <w:tc>
          <w:tcPr>
            <w:tcW w:w="118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579"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140" w:type="dxa"/>
            <w:tcBorders>
              <w:top w:val="nil"/>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w:t>
            </w:r>
            <w:r>
              <w:rPr>
                <w:rFonts w:hint="eastAsia" w:ascii="宋体" w:hAnsi="宋体" w:eastAsia="宋体" w:cs="宋体"/>
                <w:color w:val="auto"/>
                <w:sz w:val="24"/>
                <w:szCs w:val="24"/>
                <w:highlight w:val="none"/>
                <w:lang w:val="en-US" w:eastAsia="zh-CN"/>
              </w:rPr>
              <w:t>生产</w:t>
            </w:r>
            <w:r>
              <w:rPr>
                <w:rFonts w:hint="eastAsia" w:ascii="宋体" w:hAnsi="宋体" w:eastAsia="宋体" w:cs="宋体"/>
                <w:color w:val="auto"/>
                <w:sz w:val="24"/>
                <w:szCs w:val="24"/>
                <w:highlight w:val="none"/>
              </w:rPr>
              <w:t>管理与</w:t>
            </w:r>
            <w:r>
              <w:rPr>
                <w:rFonts w:hint="eastAsia" w:ascii="宋体" w:hAnsi="宋体" w:eastAsia="宋体" w:cs="宋体"/>
                <w:color w:val="auto"/>
                <w:sz w:val="24"/>
                <w:szCs w:val="24"/>
                <w:highlight w:val="none"/>
                <w:lang w:val="en-US" w:eastAsia="zh-CN"/>
              </w:rPr>
              <w:t>文明</w:t>
            </w:r>
            <w:r>
              <w:rPr>
                <w:rFonts w:hint="eastAsia" w:ascii="宋体" w:hAnsi="宋体" w:eastAsia="宋体" w:cs="宋体"/>
                <w:color w:val="auto"/>
                <w:sz w:val="24"/>
                <w:szCs w:val="24"/>
                <w:highlight w:val="none"/>
              </w:rPr>
              <w:t>措施</w:t>
            </w:r>
          </w:p>
        </w:tc>
        <w:tc>
          <w:tcPr>
            <w:tcW w:w="96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（5分）</w:t>
            </w:r>
          </w:p>
        </w:tc>
        <w:tc>
          <w:tcPr>
            <w:tcW w:w="405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安全</w:t>
            </w:r>
            <w:r>
              <w:rPr>
                <w:rFonts w:hint="eastAsia" w:ascii="宋体" w:hAnsi="宋体" w:eastAsia="宋体" w:cs="宋体"/>
                <w:color w:val="auto"/>
                <w:sz w:val="24"/>
                <w:szCs w:val="24"/>
                <w:highlight w:val="none"/>
                <w:lang w:val="en-US" w:eastAsia="zh-CN"/>
              </w:rPr>
              <w:t>生产</w:t>
            </w:r>
            <w:r>
              <w:rPr>
                <w:rFonts w:hint="eastAsia" w:ascii="宋体" w:hAnsi="宋体" w:eastAsia="宋体" w:cs="宋体"/>
                <w:color w:val="auto"/>
                <w:sz w:val="24"/>
                <w:szCs w:val="24"/>
                <w:highlight w:val="none"/>
              </w:rPr>
              <w:t>管理体系与</w:t>
            </w:r>
            <w:r>
              <w:rPr>
                <w:rFonts w:hint="eastAsia" w:ascii="宋体" w:hAnsi="宋体" w:eastAsia="宋体" w:cs="宋体"/>
                <w:color w:val="auto"/>
                <w:sz w:val="24"/>
                <w:szCs w:val="24"/>
                <w:highlight w:val="none"/>
                <w:lang w:val="en-US" w:eastAsia="zh-CN"/>
              </w:rPr>
              <w:t>文明</w:t>
            </w:r>
            <w:r>
              <w:rPr>
                <w:rFonts w:hint="eastAsia" w:ascii="宋体" w:hAnsi="宋体" w:eastAsia="宋体" w:cs="宋体"/>
                <w:color w:val="auto"/>
                <w:sz w:val="24"/>
                <w:szCs w:val="24"/>
                <w:highlight w:val="none"/>
              </w:rPr>
              <w:t>措施设置</w:t>
            </w:r>
            <w:r>
              <w:rPr>
                <w:rFonts w:hint="eastAsia" w:ascii="宋体" w:hAnsi="宋体" w:eastAsia="宋体" w:cs="宋体"/>
                <w:color w:val="auto"/>
                <w:sz w:val="24"/>
                <w:szCs w:val="24"/>
                <w:highlight w:val="none"/>
                <w:lang w:eastAsia="zh-CN"/>
              </w:rPr>
              <w:t>详尽完善</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良得</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一般</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分，差得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分，无得0分；</w:t>
            </w:r>
          </w:p>
        </w:tc>
      </w:tr>
      <w:tr>
        <w:tblPrEx>
          <w:tblCellMar>
            <w:top w:w="0" w:type="dxa"/>
            <w:left w:w="0" w:type="dxa"/>
            <w:bottom w:w="0" w:type="dxa"/>
            <w:right w:w="0" w:type="dxa"/>
          </w:tblCellMar>
        </w:tblPrEx>
        <w:trPr>
          <w:trHeight w:val="845" w:hRule="atLeast"/>
          <w:jc w:val="center"/>
        </w:trPr>
        <w:tc>
          <w:tcPr>
            <w:tcW w:w="1180"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579" w:type="dxa"/>
            <w:vMerge w:val="continue"/>
            <w:tcBorders>
              <w:left w:val="single" w:color="auto" w:sz="8"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tc>
        <w:tc>
          <w:tcPr>
            <w:tcW w:w="96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0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整个过程中，检修人员必须持证挂牌岗，严格按照规程规范作业，并在服务期内，对已检测的设备仪器负责。</w:t>
            </w:r>
          </w:p>
        </w:tc>
      </w:tr>
      <w:tr>
        <w:tblPrEx>
          <w:tblCellMar>
            <w:top w:w="0" w:type="dxa"/>
            <w:left w:w="0" w:type="dxa"/>
            <w:bottom w:w="0" w:type="dxa"/>
            <w:right w:w="0" w:type="dxa"/>
          </w:tblCellMar>
        </w:tblPrEx>
        <w:trPr>
          <w:trHeight w:val="845" w:hRule="atLeast"/>
          <w:jc w:val="center"/>
        </w:trPr>
        <w:tc>
          <w:tcPr>
            <w:tcW w:w="1180" w:type="dxa"/>
            <w:vMerge w:val="continue"/>
            <w:tcBorders>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579" w:type="dxa"/>
            <w:vMerge w:val="continue"/>
            <w:tcBorders>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应急保障</w:t>
            </w:r>
          </w:p>
        </w:tc>
        <w:tc>
          <w:tcPr>
            <w:tcW w:w="96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p>
        </w:tc>
        <w:tc>
          <w:tcPr>
            <w:tcW w:w="40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检修调试过程中出现应急用电保障工作及突发故障的应对，能确保医院重要科室（手术室、ICU、信息化系统等）不受到影响，</w:t>
            </w:r>
          </w:p>
        </w:tc>
      </w:tr>
      <w:tr>
        <w:tblPrEx>
          <w:tblCellMar>
            <w:top w:w="0" w:type="dxa"/>
            <w:left w:w="0" w:type="dxa"/>
            <w:bottom w:w="0" w:type="dxa"/>
            <w:right w:w="0" w:type="dxa"/>
          </w:tblCellMar>
        </w:tblPrEx>
        <w:trPr>
          <w:trHeight w:val="1459" w:hRule="atLeast"/>
          <w:jc w:val="center"/>
        </w:trPr>
        <w:tc>
          <w:tcPr>
            <w:tcW w:w="1180"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ind w:firstLine="56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79"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14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96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405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统一采用低价优先法计算，即满足磋商文件要求且最终最低的报价为基准价，其价格分为满分。其他申请人的价格分统一按照下列公式计算：最终报价得分=(基准价／磋商后最终报价)×分值</w:t>
            </w:r>
            <w:r>
              <w:rPr>
                <w:rFonts w:hint="eastAsia" w:ascii="宋体" w:hAnsi="宋体" w:cs="宋体"/>
                <w:color w:val="auto"/>
                <w:sz w:val="24"/>
                <w:szCs w:val="24"/>
                <w:highlight w:val="none"/>
                <w:lang w:val="en-US" w:eastAsia="zh-CN"/>
              </w:rPr>
              <w:t>20</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highlight w:val="none"/>
        </w:rPr>
      </w:pPr>
      <w:r>
        <w:rPr>
          <w:rFonts w:hint="eastAsia" w:ascii="宋体" w:hAnsi="宋体" w:cs="宋体"/>
          <w:b/>
          <w:bCs/>
          <w:i w:val="0"/>
          <w:caps w:val="0"/>
          <w:spacing w:val="0"/>
          <w:w w:val="100"/>
          <w:sz w:val="24"/>
          <w:szCs w:val="24"/>
          <w:highlight w:val="none"/>
          <w:lang w:val="en-US" w:eastAsia="zh-CN"/>
        </w:rPr>
        <w:t>八</w:t>
      </w:r>
      <w:r>
        <w:rPr>
          <w:rFonts w:hint="eastAsia" w:ascii="宋体" w:hAnsi="宋体" w:eastAsia="宋体" w:cs="宋体"/>
          <w:b/>
          <w:bCs/>
          <w:i w:val="0"/>
          <w:caps w:val="0"/>
          <w:spacing w:val="0"/>
          <w:w w:val="100"/>
          <w:sz w:val="24"/>
          <w:szCs w:val="24"/>
          <w:highlight w:val="none"/>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highlight w:val="none"/>
        </w:rPr>
      </w:pPr>
      <w:r>
        <w:rPr>
          <w:rFonts w:hint="eastAsia" w:ascii="宋体" w:hAnsi="宋体" w:eastAsia="宋体" w:cs="宋体"/>
          <w:b w:val="0"/>
          <w:i w:val="0"/>
          <w:caps w:val="0"/>
          <w:spacing w:val="0"/>
          <w:w w:val="100"/>
          <w:sz w:val="24"/>
          <w:szCs w:val="24"/>
          <w:highlight w:val="none"/>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highlight w:val="none"/>
        </w:rPr>
      </w:pPr>
      <w:r>
        <w:rPr>
          <w:rFonts w:hint="eastAsia" w:ascii="宋体" w:hAnsi="宋体" w:eastAsia="宋体" w:cs="宋体"/>
          <w:b w:val="0"/>
          <w:i w:val="0"/>
          <w:caps w:val="0"/>
          <w:spacing w:val="0"/>
          <w:w w:val="100"/>
          <w:sz w:val="24"/>
          <w:szCs w:val="24"/>
          <w:highlight w:val="none"/>
        </w:rPr>
        <w:t>上班时间为8：00—12：00（上午），14：00—17：30（下午）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highlight w:val="none"/>
          <w:lang w:val="en-US" w:eastAsia="zh-CN"/>
        </w:rPr>
      </w:pPr>
      <w:r>
        <w:rPr>
          <w:rFonts w:hint="eastAsia" w:ascii="宋体" w:hAnsi="宋体" w:eastAsia="宋体" w:cs="宋体"/>
          <w:b w:val="0"/>
          <w:i w:val="0"/>
          <w:caps w:val="0"/>
          <w:spacing w:val="0"/>
          <w:w w:val="100"/>
          <w:sz w:val="24"/>
          <w:szCs w:val="24"/>
          <w:highlight w:val="none"/>
        </w:rPr>
        <w:t>联系电话</w:t>
      </w:r>
      <w:r>
        <w:rPr>
          <w:rFonts w:hint="eastAsia" w:ascii="宋体" w:hAnsi="宋体" w:eastAsia="宋体" w:cs="宋体"/>
          <w:b w:val="0"/>
          <w:i w:val="0"/>
          <w:caps w:val="0"/>
          <w:spacing w:val="0"/>
          <w:w w:val="100"/>
          <w:sz w:val="24"/>
          <w:szCs w:val="24"/>
          <w:highlight w:val="none"/>
          <w:lang w:val="en-US" w:eastAsia="zh-CN"/>
        </w:rPr>
        <w:t>028-</w:t>
      </w:r>
      <w:r>
        <w:rPr>
          <w:rFonts w:hint="eastAsia" w:ascii="宋体" w:hAnsi="宋体" w:eastAsia="宋体" w:cs="宋体"/>
          <w:b w:val="0"/>
          <w:i w:val="0"/>
          <w:caps w:val="0"/>
          <w:spacing w:val="0"/>
          <w:w w:val="100"/>
          <w:sz w:val="24"/>
          <w:szCs w:val="24"/>
          <w:highlight w:val="none"/>
        </w:rPr>
        <w:t>659782</w:t>
      </w:r>
      <w:r>
        <w:rPr>
          <w:rFonts w:hint="eastAsia" w:ascii="宋体" w:hAnsi="宋体" w:eastAsia="宋体" w:cs="宋体"/>
          <w:b w:val="0"/>
          <w:i w:val="0"/>
          <w:caps w:val="0"/>
          <w:spacing w:val="0"/>
          <w:w w:val="100"/>
          <w:sz w:val="24"/>
          <w:szCs w:val="24"/>
          <w:highlight w:val="none"/>
          <w:lang w:val="en-US" w:eastAsia="zh-CN"/>
        </w:rPr>
        <w:t>23</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22"/>
        <w:gridCol w:w="2072"/>
        <w:gridCol w:w="1068"/>
        <w:gridCol w:w="1008"/>
        <w:gridCol w:w="1017"/>
        <w:gridCol w:w="13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金额（元）</w:t>
            </w: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高压配电柜</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42面</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配电室更换仪表报价</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20个</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低压配电柜</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89面</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母线槽（</w:t>
            </w:r>
            <w:r>
              <w:rPr>
                <w:rFonts w:hint="eastAsia" w:ascii="宋体" w:hAnsi="宋体" w:eastAsia="宋体" w:cs="宋体"/>
                <w:color w:val="auto"/>
                <w:kern w:val="0"/>
                <w:sz w:val="24"/>
                <w:szCs w:val="24"/>
                <w:highlight w:val="none"/>
                <w:lang w:val="en-US" w:eastAsia="zh-CN"/>
              </w:rPr>
              <w:t>晋阳</w:t>
            </w:r>
            <w:r>
              <w:rPr>
                <w:rFonts w:hint="eastAsia" w:ascii="宋体" w:hAnsi="宋体" w:eastAsia="宋体" w:cs="宋体"/>
                <w:color w:val="auto"/>
                <w:kern w:val="0"/>
                <w:sz w:val="24"/>
                <w:szCs w:val="24"/>
                <w:highlight w:val="none"/>
                <w:lang w:eastAsia="zh-CN"/>
              </w:rPr>
              <w:t>）</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3组*120米</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住院楼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母线槽</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7组*10米</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直流屏</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4组</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变压器</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15台</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高压环网柜</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16面</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高压主供开关</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1台</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bidi="ar-SA"/>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一体电容更换</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bidi="ar-SA"/>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2"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500KW应急发电机</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7台</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租赁保障院方供电使用（晋阳院区）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500KW应急发电机</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2台</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保障紧急停电时应急保障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天府院区800KW应急发电机</w:t>
            </w: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1台</w:t>
            </w: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保障紧急停电时应急保障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20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0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.报价应是最终用户验收合格后的总价，税费、采购文件规定的其它费用。</w:t>
      </w:r>
    </w:p>
    <w:p>
      <w:pPr>
        <w:keepNext w:val="0"/>
        <w:keepLines w:val="0"/>
        <w:pageBreakBefore w:val="0"/>
        <w:widowControl/>
        <w:numPr>
          <w:ilvl w:val="0"/>
          <w:numId w:val="0"/>
        </w:numPr>
        <w:kinsoku/>
        <w:wordWrap/>
        <w:overflowPunct/>
        <w:topLinePunct w:val="0"/>
        <w:bidi w:val="0"/>
        <w:spacing w:line="360" w:lineRule="auto"/>
        <w:ind w:left="482" w:leftChars="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0"/>
        </w:numPr>
        <w:kinsoku/>
        <w:wordWrap/>
        <w:overflowPunct/>
        <w:topLinePunct w:val="0"/>
        <w:bidi w:val="0"/>
        <w:spacing w:line="360" w:lineRule="auto"/>
        <w:ind w:left="482" w:leftChars="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“报价一览表”需单独密封</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kinsoku/>
        <w:wordWrap/>
        <w:overflowPunct/>
        <w:topLinePunct w:val="0"/>
        <w:bidi w:val="0"/>
        <w:spacing w:line="360" w:lineRule="auto"/>
        <w:ind w:left="482" w:leftChars="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“报价一览表”</w:t>
      </w:r>
      <w:r>
        <w:rPr>
          <w:rFonts w:hint="eastAsia" w:ascii="宋体" w:hAnsi="宋体" w:eastAsia="宋体" w:cs="宋体"/>
          <w:color w:val="auto"/>
          <w:kern w:val="0"/>
          <w:sz w:val="24"/>
          <w:szCs w:val="24"/>
          <w:highlight w:val="none"/>
          <w:lang w:val="en-US" w:eastAsia="zh-CN"/>
        </w:rPr>
        <w:t>以现场勘察实际作业统计量进行核算，包含：高压柜、变压器</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低压柜、高压母线、电压母线槽等</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w:t>
      </w: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5"/>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10"/>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lang w:val="en-US" w:eastAsia="zh-CN"/>
        </w:rPr>
        <w:t>商务、</w:t>
      </w:r>
      <w:r>
        <w:rPr>
          <w:rFonts w:hint="eastAsia" w:ascii="宋体" w:hAnsi="宋体" w:eastAsia="宋体" w:cs="宋体"/>
          <w:b/>
          <w:sz w:val="24"/>
          <w:szCs w:val="24"/>
        </w:rPr>
        <w:t>技术、服务响应/偏离表 </w:t>
      </w:r>
    </w:p>
    <w:p>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sz w:val="24"/>
          <w:szCs w:val="24"/>
          <w:u w:val="single"/>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p>
    <w:p>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Style w:val="12"/>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注：</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sz w:val="24"/>
          <w:szCs w:val="24"/>
          <w:lang w:val="en-US" w:eastAsia="zh-CN"/>
        </w:rPr>
      </w:pPr>
      <w:r>
        <w:rPr>
          <w:rFonts w:hint="eastAsia" w:ascii="宋体" w:hAnsi="宋体" w:eastAsia="宋体" w:cs="宋体"/>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sz w:val="24"/>
          <w:szCs w:val="24"/>
          <w:lang w:val="en-US" w:eastAsia="zh-CN"/>
        </w:rPr>
        <w:t>如无偏离，请填写无偏离或正偏离。</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7"/>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17"/>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6"/>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6"/>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6"/>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1"/>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p>
    <w:p>
      <w:pPr>
        <w:pageBreakBefore w:val="0"/>
        <w:kinsoku/>
        <w:wordWrap/>
        <w:overflowPunct/>
        <w:topLinePunct w:val="0"/>
        <w:autoSpaceDE/>
        <w:autoSpaceDN/>
        <w:bidi w:val="0"/>
        <w:spacing w:line="360" w:lineRule="auto"/>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BC65D68B"/>
    <w:multiLevelType w:val="singleLevel"/>
    <w:tmpl w:val="BC65D68B"/>
    <w:lvl w:ilvl="0" w:tentative="0">
      <w:start w:val="5"/>
      <w:numFmt w:val="decimal"/>
      <w:lvlText w:val="%1."/>
      <w:lvlJc w:val="left"/>
      <w:pPr>
        <w:tabs>
          <w:tab w:val="left" w:pos="312"/>
        </w:tabs>
      </w:pPr>
    </w:lvl>
  </w:abstractNum>
  <w:abstractNum w:abstractNumId="2">
    <w:nsid w:val="E66A6062"/>
    <w:multiLevelType w:val="singleLevel"/>
    <w:tmpl w:val="E66A6062"/>
    <w:lvl w:ilvl="0" w:tentative="0">
      <w:start w:val="1"/>
      <w:numFmt w:val="decimal"/>
      <w:lvlText w:val="%1."/>
      <w:lvlJc w:val="left"/>
      <w:pPr>
        <w:tabs>
          <w:tab w:val="left" w:pos="312"/>
        </w:tabs>
      </w:pPr>
    </w:lvl>
  </w:abstractNum>
  <w:abstractNum w:abstractNumId="3">
    <w:nsid w:val="0F8246F5"/>
    <w:multiLevelType w:val="singleLevel"/>
    <w:tmpl w:val="0F8246F5"/>
    <w:lvl w:ilvl="0" w:tentative="0">
      <w:start w:val="1"/>
      <w:numFmt w:val="decimal"/>
      <w:suff w:val="nothing"/>
      <w:lvlText w:val="%1、"/>
      <w:lvlJc w:val="left"/>
    </w:lvl>
  </w:abstractNum>
  <w:abstractNum w:abstractNumId="4">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5">
    <w:nsid w:val="6F0BA655"/>
    <w:multiLevelType w:val="singleLevel"/>
    <w:tmpl w:val="6F0BA655"/>
    <w:lvl w:ilvl="0" w:tentative="0">
      <w:start w:val="1"/>
      <w:numFmt w:val="decimal"/>
      <w:suff w:val="nothing"/>
      <w:lvlText w:val="%1．"/>
      <w:lvlJc w:val="left"/>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984987"/>
    <w:rsid w:val="00B249B3"/>
    <w:rsid w:val="01401E57"/>
    <w:rsid w:val="01582E9F"/>
    <w:rsid w:val="022561DB"/>
    <w:rsid w:val="024B5F91"/>
    <w:rsid w:val="02E53A75"/>
    <w:rsid w:val="02EB3A14"/>
    <w:rsid w:val="03F74790"/>
    <w:rsid w:val="0423435A"/>
    <w:rsid w:val="045647A9"/>
    <w:rsid w:val="04C176DC"/>
    <w:rsid w:val="0524197F"/>
    <w:rsid w:val="05CD03BE"/>
    <w:rsid w:val="05CD28F1"/>
    <w:rsid w:val="062B4B4A"/>
    <w:rsid w:val="064E305B"/>
    <w:rsid w:val="06A24269"/>
    <w:rsid w:val="06B71706"/>
    <w:rsid w:val="06DD6561"/>
    <w:rsid w:val="06E15158"/>
    <w:rsid w:val="07AF5FEE"/>
    <w:rsid w:val="07F7141C"/>
    <w:rsid w:val="088710D9"/>
    <w:rsid w:val="08CA20FD"/>
    <w:rsid w:val="094F5478"/>
    <w:rsid w:val="09F4147B"/>
    <w:rsid w:val="0A1C3C64"/>
    <w:rsid w:val="0A277760"/>
    <w:rsid w:val="0ACF324E"/>
    <w:rsid w:val="0B197C79"/>
    <w:rsid w:val="0B565E48"/>
    <w:rsid w:val="0B5E2A33"/>
    <w:rsid w:val="0BD02D72"/>
    <w:rsid w:val="0C1A446B"/>
    <w:rsid w:val="0CC42C4A"/>
    <w:rsid w:val="0CE1020E"/>
    <w:rsid w:val="0CE90D83"/>
    <w:rsid w:val="0D06536D"/>
    <w:rsid w:val="0D272843"/>
    <w:rsid w:val="0DEB6977"/>
    <w:rsid w:val="0E1B1632"/>
    <w:rsid w:val="0F4628CF"/>
    <w:rsid w:val="0F71729A"/>
    <w:rsid w:val="0F914A2F"/>
    <w:rsid w:val="0FC30CF8"/>
    <w:rsid w:val="0FD4292A"/>
    <w:rsid w:val="0FF756C0"/>
    <w:rsid w:val="10863CAA"/>
    <w:rsid w:val="109819C6"/>
    <w:rsid w:val="112F7D4C"/>
    <w:rsid w:val="114C276E"/>
    <w:rsid w:val="11584002"/>
    <w:rsid w:val="11AC3A8C"/>
    <w:rsid w:val="11F34201"/>
    <w:rsid w:val="129243DD"/>
    <w:rsid w:val="12BB52A2"/>
    <w:rsid w:val="12CB3CF7"/>
    <w:rsid w:val="13E76168"/>
    <w:rsid w:val="146849E3"/>
    <w:rsid w:val="15855BCE"/>
    <w:rsid w:val="15B71161"/>
    <w:rsid w:val="16404810"/>
    <w:rsid w:val="16795C6E"/>
    <w:rsid w:val="177F6166"/>
    <w:rsid w:val="192B394B"/>
    <w:rsid w:val="193C34F7"/>
    <w:rsid w:val="196B01BF"/>
    <w:rsid w:val="198A015E"/>
    <w:rsid w:val="1A2566F4"/>
    <w:rsid w:val="1A8B0593"/>
    <w:rsid w:val="1C151423"/>
    <w:rsid w:val="1C8F0169"/>
    <w:rsid w:val="1C962C76"/>
    <w:rsid w:val="1D7B096A"/>
    <w:rsid w:val="1D7D134A"/>
    <w:rsid w:val="1DC80A69"/>
    <w:rsid w:val="1E765CBA"/>
    <w:rsid w:val="1E9514A0"/>
    <w:rsid w:val="1EF8115B"/>
    <w:rsid w:val="1F051509"/>
    <w:rsid w:val="1FD72787"/>
    <w:rsid w:val="20AF2A2B"/>
    <w:rsid w:val="20BA264F"/>
    <w:rsid w:val="20EF1296"/>
    <w:rsid w:val="2161289E"/>
    <w:rsid w:val="21AD5563"/>
    <w:rsid w:val="221029F2"/>
    <w:rsid w:val="231A50A3"/>
    <w:rsid w:val="23305048"/>
    <w:rsid w:val="2412563B"/>
    <w:rsid w:val="243313F3"/>
    <w:rsid w:val="2487307B"/>
    <w:rsid w:val="24F76BB2"/>
    <w:rsid w:val="25101CDA"/>
    <w:rsid w:val="25477C36"/>
    <w:rsid w:val="2559103D"/>
    <w:rsid w:val="25685003"/>
    <w:rsid w:val="256C23F4"/>
    <w:rsid w:val="25824395"/>
    <w:rsid w:val="25C97BEE"/>
    <w:rsid w:val="2647305C"/>
    <w:rsid w:val="26E41B28"/>
    <w:rsid w:val="277964E9"/>
    <w:rsid w:val="281955CF"/>
    <w:rsid w:val="281D195D"/>
    <w:rsid w:val="29266E1A"/>
    <w:rsid w:val="296D0E96"/>
    <w:rsid w:val="29A02082"/>
    <w:rsid w:val="2A044599"/>
    <w:rsid w:val="2A0F7B8F"/>
    <w:rsid w:val="2B05240B"/>
    <w:rsid w:val="2B265158"/>
    <w:rsid w:val="2BF4266B"/>
    <w:rsid w:val="2CB371D5"/>
    <w:rsid w:val="2CF3776A"/>
    <w:rsid w:val="2D0C3CF4"/>
    <w:rsid w:val="2D611200"/>
    <w:rsid w:val="2D7F4851"/>
    <w:rsid w:val="2D8629CE"/>
    <w:rsid w:val="2E24194D"/>
    <w:rsid w:val="2E776F13"/>
    <w:rsid w:val="2EFF545B"/>
    <w:rsid w:val="2FAC3343"/>
    <w:rsid w:val="303F042A"/>
    <w:rsid w:val="30806B9E"/>
    <w:rsid w:val="30B43B75"/>
    <w:rsid w:val="31650772"/>
    <w:rsid w:val="31E9143D"/>
    <w:rsid w:val="323A13F3"/>
    <w:rsid w:val="325D41F6"/>
    <w:rsid w:val="32AB622F"/>
    <w:rsid w:val="32B026B6"/>
    <w:rsid w:val="32C45245"/>
    <w:rsid w:val="33886860"/>
    <w:rsid w:val="33AC7480"/>
    <w:rsid w:val="34A55F9D"/>
    <w:rsid w:val="34BE33D7"/>
    <w:rsid w:val="35083B0F"/>
    <w:rsid w:val="35344E80"/>
    <w:rsid w:val="35B83942"/>
    <w:rsid w:val="35DB18E9"/>
    <w:rsid w:val="361A126B"/>
    <w:rsid w:val="36422592"/>
    <w:rsid w:val="36545D30"/>
    <w:rsid w:val="36BF0CFE"/>
    <w:rsid w:val="37671CCB"/>
    <w:rsid w:val="37691FF5"/>
    <w:rsid w:val="383D10D3"/>
    <w:rsid w:val="39487007"/>
    <w:rsid w:val="39A43E9E"/>
    <w:rsid w:val="3AF55DC9"/>
    <w:rsid w:val="3BA357BB"/>
    <w:rsid w:val="3BC236C1"/>
    <w:rsid w:val="3BDD1C9A"/>
    <w:rsid w:val="3C6234CA"/>
    <w:rsid w:val="3D5123A5"/>
    <w:rsid w:val="3E3C3D7F"/>
    <w:rsid w:val="3ECA2888"/>
    <w:rsid w:val="3F0F3FAB"/>
    <w:rsid w:val="3F3D74FE"/>
    <w:rsid w:val="3F7F07E6"/>
    <w:rsid w:val="3FBC281F"/>
    <w:rsid w:val="40D84324"/>
    <w:rsid w:val="422E6A20"/>
    <w:rsid w:val="432A1B18"/>
    <w:rsid w:val="435A36DC"/>
    <w:rsid w:val="43E06BC0"/>
    <w:rsid w:val="448F2D07"/>
    <w:rsid w:val="450B6A83"/>
    <w:rsid w:val="45323119"/>
    <w:rsid w:val="4537221B"/>
    <w:rsid w:val="45447252"/>
    <w:rsid w:val="45631693"/>
    <w:rsid w:val="456D26F5"/>
    <w:rsid w:val="467B4E31"/>
    <w:rsid w:val="46B34F8B"/>
    <w:rsid w:val="480004B0"/>
    <w:rsid w:val="483153FC"/>
    <w:rsid w:val="495777FB"/>
    <w:rsid w:val="4A275658"/>
    <w:rsid w:val="4AF20173"/>
    <w:rsid w:val="4B0C6E2E"/>
    <w:rsid w:val="4B1B76D0"/>
    <w:rsid w:val="4B6320B2"/>
    <w:rsid w:val="4B994494"/>
    <w:rsid w:val="4BAE772A"/>
    <w:rsid w:val="4BB17333"/>
    <w:rsid w:val="4C4A7B3B"/>
    <w:rsid w:val="4C4F073F"/>
    <w:rsid w:val="4C8B4D21"/>
    <w:rsid w:val="4CC0557B"/>
    <w:rsid w:val="4CD40998"/>
    <w:rsid w:val="4CEA1A71"/>
    <w:rsid w:val="4D131F93"/>
    <w:rsid w:val="4DC3281F"/>
    <w:rsid w:val="4DFC16FF"/>
    <w:rsid w:val="4F8450C3"/>
    <w:rsid w:val="50066CA3"/>
    <w:rsid w:val="504533AC"/>
    <w:rsid w:val="50485D02"/>
    <w:rsid w:val="518B59E0"/>
    <w:rsid w:val="51D13349"/>
    <w:rsid w:val="51E332DC"/>
    <w:rsid w:val="5244176A"/>
    <w:rsid w:val="52622C38"/>
    <w:rsid w:val="534D4075"/>
    <w:rsid w:val="53780202"/>
    <w:rsid w:val="541532F3"/>
    <w:rsid w:val="544669FD"/>
    <w:rsid w:val="54F21968"/>
    <w:rsid w:val="550310E3"/>
    <w:rsid w:val="55BB16B6"/>
    <w:rsid w:val="566A423C"/>
    <w:rsid w:val="572B3928"/>
    <w:rsid w:val="574F6249"/>
    <w:rsid w:val="57AD74C8"/>
    <w:rsid w:val="58071A1F"/>
    <w:rsid w:val="599B1691"/>
    <w:rsid w:val="59EE5898"/>
    <w:rsid w:val="5A772246"/>
    <w:rsid w:val="5B8524B6"/>
    <w:rsid w:val="5BB37923"/>
    <w:rsid w:val="5BEB180B"/>
    <w:rsid w:val="5C3E0CC0"/>
    <w:rsid w:val="5D79752D"/>
    <w:rsid w:val="5E4567B6"/>
    <w:rsid w:val="5E8575A0"/>
    <w:rsid w:val="5ECC5796"/>
    <w:rsid w:val="5FD849CF"/>
    <w:rsid w:val="60104E84"/>
    <w:rsid w:val="604754AA"/>
    <w:rsid w:val="606964BC"/>
    <w:rsid w:val="60B548DC"/>
    <w:rsid w:val="616E24E6"/>
    <w:rsid w:val="619A462F"/>
    <w:rsid w:val="62312A9D"/>
    <w:rsid w:val="62CF1CB5"/>
    <w:rsid w:val="63323318"/>
    <w:rsid w:val="63545F00"/>
    <w:rsid w:val="635C21B5"/>
    <w:rsid w:val="63D22FD5"/>
    <w:rsid w:val="64202DC6"/>
    <w:rsid w:val="649D6684"/>
    <w:rsid w:val="65ED15BB"/>
    <w:rsid w:val="666502D8"/>
    <w:rsid w:val="67896049"/>
    <w:rsid w:val="68355788"/>
    <w:rsid w:val="6841159B"/>
    <w:rsid w:val="687F107F"/>
    <w:rsid w:val="68822004"/>
    <w:rsid w:val="689C09B0"/>
    <w:rsid w:val="6A002475"/>
    <w:rsid w:val="6A6F1DC6"/>
    <w:rsid w:val="6AB06D96"/>
    <w:rsid w:val="6AB60C9F"/>
    <w:rsid w:val="6ABE192F"/>
    <w:rsid w:val="6AD112BF"/>
    <w:rsid w:val="6B405AFC"/>
    <w:rsid w:val="6B651B3A"/>
    <w:rsid w:val="6BD8207B"/>
    <w:rsid w:val="6C8C2E23"/>
    <w:rsid w:val="6CA17546"/>
    <w:rsid w:val="6D290723"/>
    <w:rsid w:val="6D7F4B76"/>
    <w:rsid w:val="6D870634"/>
    <w:rsid w:val="6E894E68"/>
    <w:rsid w:val="6F153928"/>
    <w:rsid w:val="6F2B72B3"/>
    <w:rsid w:val="6F7F20D5"/>
    <w:rsid w:val="700C396A"/>
    <w:rsid w:val="705B2773"/>
    <w:rsid w:val="71D8190B"/>
    <w:rsid w:val="722246EA"/>
    <w:rsid w:val="725B22AA"/>
    <w:rsid w:val="72740C55"/>
    <w:rsid w:val="72F06D27"/>
    <w:rsid w:val="7328385A"/>
    <w:rsid w:val="739065EB"/>
    <w:rsid w:val="73A56DC9"/>
    <w:rsid w:val="73DF11F6"/>
    <w:rsid w:val="73F26EC8"/>
    <w:rsid w:val="74206FB2"/>
    <w:rsid w:val="74352E35"/>
    <w:rsid w:val="74410750"/>
    <w:rsid w:val="752B1775"/>
    <w:rsid w:val="75AC0DCF"/>
    <w:rsid w:val="75F21E91"/>
    <w:rsid w:val="761B77D2"/>
    <w:rsid w:val="76424E1B"/>
    <w:rsid w:val="767F7AE5"/>
    <w:rsid w:val="76880984"/>
    <w:rsid w:val="77E2713E"/>
    <w:rsid w:val="78A07BDA"/>
    <w:rsid w:val="78B64B97"/>
    <w:rsid w:val="79257DFE"/>
    <w:rsid w:val="7929744E"/>
    <w:rsid w:val="7AB46BDC"/>
    <w:rsid w:val="7B5209E2"/>
    <w:rsid w:val="7B7A3121"/>
    <w:rsid w:val="7BA577E9"/>
    <w:rsid w:val="7C28453F"/>
    <w:rsid w:val="7C5A278F"/>
    <w:rsid w:val="7C6543A4"/>
    <w:rsid w:val="7C8D1CE5"/>
    <w:rsid w:val="7C916944"/>
    <w:rsid w:val="7CA56C98"/>
    <w:rsid w:val="7D1A2BCE"/>
    <w:rsid w:val="7D512D27"/>
    <w:rsid w:val="7D566EE8"/>
    <w:rsid w:val="7D9A1C2E"/>
    <w:rsid w:val="7E345685"/>
    <w:rsid w:val="7E6D09FF"/>
    <w:rsid w:val="7E7A539B"/>
    <w:rsid w:val="7EA45F4A"/>
    <w:rsid w:val="7F261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style>
  <w:style w:type="paragraph" w:styleId="6">
    <w:name w:val="Body Text Indent"/>
    <w:basedOn w:val="1"/>
    <w:autoRedefine/>
    <w:qFormat/>
    <w:uiPriority w:val="0"/>
    <w:pPr>
      <w:ind w:firstLine="630"/>
    </w:pPr>
    <w:rPr>
      <w:sz w:val="32"/>
      <w:szCs w:val="20"/>
    </w:rPr>
  </w:style>
  <w:style w:type="paragraph" w:styleId="7">
    <w:name w:val="Plain Text"/>
    <w:basedOn w:val="1"/>
    <w:autoRedefine/>
    <w:qFormat/>
    <w:uiPriority w:val="0"/>
    <w:pPr>
      <w:spacing w:line="460" w:lineRule="exact"/>
      <w:ind w:firstLine="567"/>
    </w:pPr>
    <w:rPr>
      <w:rFonts w:ascii="宋体" w:hAnsi="Courier New" w:eastAsia="仿宋_GB2312"/>
      <w:sz w:val="28"/>
      <w:szCs w:val="20"/>
    </w:rPr>
  </w:style>
  <w:style w:type="paragraph" w:styleId="8">
    <w:name w:val="toc 1"/>
    <w:basedOn w:val="1"/>
    <w:next w:val="1"/>
    <w:autoRedefine/>
    <w:qFormat/>
    <w:uiPriority w:val="0"/>
    <w:pPr>
      <w:spacing w:line="180" w:lineRule="auto"/>
      <w:jc w:val="center"/>
    </w:pPr>
    <w:rPr>
      <w:sz w:val="30"/>
    </w:rPr>
  </w:style>
  <w:style w:type="paragraph" w:styleId="9">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autoRedefine/>
    <w:qFormat/>
    <w:uiPriority w:val="0"/>
    <w:pPr>
      <w:ind w:firstLine="42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autoRedefine/>
    <w:qFormat/>
    <w:uiPriority w:val="99"/>
    <w:rPr>
      <w:sz w:val="21"/>
      <w:szCs w:val="21"/>
    </w:rPr>
  </w:style>
  <w:style w:type="paragraph" w:customStyle="1" w:styleId="16">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GW-正文"/>
    <w:basedOn w:val="1"/>
    <w:autoRedefine/>
    <w:qFormat/>
    <w:uiPriority w:val="0"/>
    <w:pPr>
      <w:spacing w:line="360" w:lineRule="auto"/>
      <w:ind w:firstLine="200" w:firstLineChars="200"/>
    </w:pPr>
    <w:rPr>
      <w:rFonts w:eastAsia="仿宋_GB2312"/>
      <w:sz w:val="24"/>
      <w:szCs w:val="24"/>
    </w:rPr>
  </w:style>
  <w:style w:type="paragraph" w:customStyle="1" w:styleId="1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_Style 3"/>
    <w:basedOn w:val="1"/>
    <w:autoRedefine/>
    <w:qFormat/>
    <w:uiPriority w:val="0"/>
    <w:pPr>
      <w:ind w:firstLine="420" w:firstLineChars="200"/>
    </w:pPr>
    <w:rPr>
      <w:sz w:val="20"/>
    </w:rPr>
  </w:style>
  <w:style w:type="paragraph" w:customStyle="1" w:styleId="20">
    <w:name w:val="Other|1"/>
    <w:basedOn w:val="1"/>
    <w:autoRedefine/>
    <w:qFormat/>
    <w:uiPriority w:val="0"/>
    <w:pPr>
      <w:jc w:val="left"/>
    </w:pPr>
    <w:rPr>
      <w:rFonts w:ascii="宋体" w:hAnsi="宋体" w:cs="宋体"/>
      <w:sz w:val="20"/>
      <w:szCs w:val="20"/>
      <w:lang w:val="zh-TW" w:eastAsia="zh-TW" w:bidi="zh-TW"/>
    </w:rPr>
  </w:style>
  <w:style w:type="character" w:customStyle="1" w:styleId="21">
    <w:name w:val="font21"/>
    <w:basedOn w:val="14"/>
    <w:autoRedefine/>
    <w:qFormat/>
    <w:uiPriority w:val="0"/>
    <w:rPr>
      <w:rFonts w:hint="default" w:ascii="华文仿宋" w:hAnsi="华文仿宋" w:eastAsia="华文仿宋" w:cs="华文仿宋"/>
      <w:b/>
      <w:bCs/>
      <w:color w:val="000000"/>
      <w:sz w:val="18"/>
      <w:szCs w:val="18"/>
      <w:u w:val="none"/>
    </w:rPr>
  </w:style>
  <w:style w:type="character" w:customStyle="1" w:styleId="22">
    <w:name w:val="font31"/>
    <w:basedOn w:val="14"/>
    <w:autoRedefine/>
    <w:qFormat/>
    <w:uiPriority w:val="0"/>
    <w:rPr>
      <w:rFonts w:hint="default" w:ascii="华文仿宋" w:hAnsi="华文仿宋" w:eastAsia="华文仿宋" w:cs="华文仿宋"/>
      <w:color w:val="000000"/>
      <w:sz w:val="18"/>
      <w:szCs w:val="18"/>
      <w:u w:val="none"/>
    </w:rPr>
  </w:style>
  <w:style w:type="paragraph" w:customStyle="1" w:styleId="2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9024</Words>
  <Characters>9455</Characters>
  <Lines>0</Lines>
  <Paragraphs>0</Paragraphs>
  <TotalTime>26</TotalTime>
  <ScaleCrop>false</ScaleCrop>
  <LinksUpToDate>false</LinksUpToDate>
  <CharactersWithSpaces>9903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2024-06-06T07:00:04Z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F480774E06BF48F49ED91CABE41DBD3D_13</vt:lpwstr>
  </property>
</Properties>
</file>