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采购项目编号：SCFY-YXZB202406-001（比）</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4.94112</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489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5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69"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307"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523"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511"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414"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873"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69" w:type="pct"/>
            <w:vMerge w:val="continue"/>
            <w:noWrap w:val="0"/>
            <w:vAlign w:val="center"/>
          </w:tcPr>
          <w:p>
            <w:pPr>
              <w:spacing w:line="420" w:lineRule="exact"/>
              <w:jc w:val="center"/>
              <w:rPr>
                <w:rFonts w:hint="eastAsia" w:cs="宋体"/>
                <w:color w:val="000000"/>
                <w:kern w:val="0"/>
              </w:rPr>
            </w:pPr>
          </w:p>
        </w:tc>
        <w:tc>
          <w:tcPr>
            <w:tcW w:w="307"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rPr>
              <w:t>1</w:t>
            </w:r>
          </w:p>
        </w:tc>
        <w:tc>
          <w:tcPr>
            <w:tcW w:w="523"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lang w:val="en-US" w:eastAsia="zh-CN"/>
              </w:rPr>
              <w:t>核酸提取纯化试剂 （血液基因组DNA提取试剂盒）</w:t>
            </w:r>
          </w:p>
        </w:tc>
        <w:tc>
          <w:tcPr>
            <w:tcW w:w="511"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lang w:val="en-US" w:eastAsia="zh-CN"/>
              </w:rPr>
              <w:t>9.9元</w:t>
            </w:r>
          </w:p>
        </w:tc>
        <w:tc>
          <w:tcPr>
            <w:tcW w:w="414"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lang w:val="en-US" w:eastAsia="zh-CN"/>
              </w:rPr>
              <w:t>288人份</w:t>
            </w:r>
          </w:p>
        </w:tc>
        <w:tc>
          <w:tcPr>
            <w:tcW w:w="2873" w:type="pct"/>
            <w:noWrap w:val="0"/>
            <w:vAlign w:val="top"/>
          </w:tcPr>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1.</w:t>
            </w:r>
            <w:r>
              <w:rPr>
                <w:rFonts w:hint="eastAsia"/>
              </w:rPr>
              <w:t>用途：用于核酸的提取、富集、纯化等步骤。其处理后的产物用于临床体外检测使用</w:t>
            </w:r>
            <w:r>
              <w:rPr>
                <w:rFonts w:hint="eastAsia" w:ascii="宋体" w:hAnsi="宋体" w:cs="宋体"/>
                <w:color w:val="000000"/>
                <w:lang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2.</w:t>
            </w:r>
            <w:r>
              <w:rPr>
                <w:rFonts w:hint="eastAsia" w:ascii="Times New Roman" w:hAnsi="Times New Roman" w:eastAsia="宋体" w:cs="Times New Roman"/>
              </w:rPr>
              <w:t>配套医院现有设备全自动核酸纯化仪（设备生产厂家：恺硕生物科技(厦门)有限公司；型号：HF24）使用。</w:t>
            </w:r>
          </w:p>
          <w:p>
            <w:pPr>
              <w:widowControl/>
              <w:jc w:val="left"/>
              <w:textAlignment w:val="center"/>
              <w:rPr>
                <w:rFonts w:hint="eastAsia" w:ascii="宋体" w:hAnsi="宋体" w:cs="宋体"/>
                <w:color w:val="000000"/>
                <w:lang w:eastAsia="zh-CN"/>
              </w:rPr>
            </w:pPr>
            <w:r>
              <w:rPr>
                <w:rFonts w:hint="eastAsia" w:ascii="宋体" w:hAnsi="宋体" w:cs="宋体"/>
                <w:sz w:val="21"/>
                <w:szCs w:val="21"/>
                <w:lang w:val="en-US" w:eastAsia="zh-CN"/>
              </w:rPr>
              <w:t>3.方法学:磁珠法</w:t>
            </w:r>
            <w:r>
              <w:rPr>
                <w:rFonts w:hint="eastAsia" w:ascii="宋体" w:hAnsi="宋体" w:cs="宋体"/>
                <w:color w:val="000000"/>
                <w:lang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 xml:space="preserve">4. </w:t>
            </w:r>
            <w:r>
              <w:rPr>
                <w:rFonts w:hint="eastAsia" w:ascii="宋体" w:hAnsi="宋体" w:cs="宋体"/>
                <w:sz w:val="21"/>
                <w:szCs w:val="21"/>
                <w:lang w:val="en-US" w:eastAsia="zh-CN"/>
              </w:rPr>
              <w:t>12孔预分装试剂条（2加热孔与10个试剂孔）</w:t>
            </w:r>
            <w:r>
              <w:rPr>
                <w:rFonts w:hint="eastAsia" w:ascii="宋体" w:hAnsi="宋体" w:cs="宋体"/>
                <w:color w:val="000000"/>
              </w:rPr>
              <w:t>。</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5.提取产物：DNA提取，1份样本1次提取，同时获得高质量的DNA，可用于后续多项检测项目。</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6.样本类型:全血、白细胞等液体样本。</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7.可一次性处理上样量：200μL-400μL。</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 xml:space="preserve">8. </w:t>
            </w:r>
            <w:r>
              <w:rPr>
                <w:rFonts w:hint="eastAsia" w:ascii="宋体" w:hAnsi="宋体" w:cs="宋体"/>
                <w:color w:val="000000"/>
                <w:lang w:val="en-US" w:eastAsia="zh-CN"/>
              </w:rPr>
              <w:t>同款试剂条洗脱液体积可以满足60ul、100ul、150ul、200ul的要求。</w:t>
            </w:r>
          </w:p>
          <w:p>
            <w:pPr>
              <w:widowControl/>
              <w:numPr>
                <w:ilvl w:val="0"/>
                <w:numId w:val="0"/>
              </w:numPr>
              <w:jc w:val="left"/>
              <w:textAlignment w:val="center"/>
              <w:rPr>
                <w:rFonts w:hint="eastAsia" w:ascii="宋体" w:hAnsi="宋体" w:cs="宋体"/>
                <w:color w:val="000000"/>
                <w:lang w:val="en-US" w:eastAsia="zh-CN"/>
              </w:rPr>
            </w:pPr>
            <w:r>
              <w:rPr>
                <w:rFonts w:hint="eastAsia" w:ascii="宋体" w:hAnsi="宋体" w:cs="宋体"/>
                <w:color w:val="000000"/>
                <w:lang w:val="en-US" w:eastAsia="zh-CN"/>
              </w:rPr>
              <w:t>9.无需冷链物流，可常温运输及保存。</w:t>
            </w:r>
          </w:p>
          <w:p>
            <w:pPr>
              <w:widowControl/>
              <w:numPr>
                <w:ilvl w:val="0"/>
                <w:numId w:val="0"/>
              </w:numPr>
              <w:jc w:val="left"/>
              <w:textAlignment w:val="center"/>
              <w:rPr>
                <w:rFonts w:hint="eastAsia" w:ascii="宋体" w:hAnsi="宋体" w:cs="宋体"/>
                <w:color w:val="000000"/>
                <w:lang w:eastAsia="zh-CN"/>
              </w:rPr>
            </w:pPr>
            <w:r>
              <w:rPr>
                <w:rFonts w:hint="eastAsia" w:ascii="宋体" w:hAnsi="宋体" w:cs="宋体"/>
                <w:color w:val="000000"/>
                <w:lang w:val="en-US" w:eastAsia="zh-CN"/>
              </w:rPr>
              <w:t>10.效期≥12个月。</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11.双加热孔大小不一，分别用于样本加热和核酸洗脱。</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 xml:space="preserve">12. </w:t>
            </w:r>
            <w:r>
              <w:rPr>
                <w:rFonts w:hint="eastAsia" w:ascii="宋体" w:hAnsi="宋体" w:cs="宋体"/>
                <w:color w:val="000000"/>
                <w:lang w:val="en-US" w:eastAsia="zh-CN"/>
              </w:rPr>
              <w:t>试剂条手柄部分有试剂品相编号，对应设备内预置程序。</w:t>
            </w:r>
          </w:p>
          <w:p>
            <w:pPr>
              <w:pStyle w:val="2"/>
              <w:rPr>
                <w:rFonts w:hint="default"/>
                <w:lang w:val="en-US" w:eastAsia="zh-CN"/>
              </w:rPr>
            </w:pPr>
            <w:r>
              <w:rPr>
                <w:rFonts w:hint="eastAsia" w:ascii="宋体" w:hAnsi="宋体" w:cs="宋体"/>
                <w:color w:val="000000"/>
                <w:lang w:val="en-US" w:eastAsia="zh-CN"/>
              </w:rPr>
              <w:t>13.使用模式：全自动提取。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69" w:type="pct"/>
            <w:vMerge w:val="continue"/>
            <w:noWrap w:val="0"/>
            <w:vAlign w:val="center"/>
          </w:tcPr>
          <w:p>
            <w:pPr>
              <w:spacing w:line="420" w:lineRule="exact"/>
              <w:jc w:val="center"/>
              <w:rPr>
                <w:rFonts w:hint="eastAsia" w:cs="宋体"/>
                <w:color w:val="000000"/>
                <w:kern w:val="0"/>
              </w:rPr>
            </w:pPr>
          </w:p>
        </w:tc>
        <w:tc>
          <w:tcPr>
            <w:tcW w:w="307" w:type="pct"/>
            <w:noWrap w:val="0"/>
            <w:vAlign w:val="center"/>
          </w:tcPr>
          <w:p>
            <w:pPr>
              <w:autoSpaceDE w:val="0"/>
              <w:autoSpaceDN w:val="0"/>
              <w:jc w:val="center"/>
              <w:rPr>
                <w:rFonts w:hint="eastAsia" w:ascii="宋体" w:hAnsi="宋体" w:eastAsiaTheme="minorEastAsia"/>
                <w:sz w:val="21"/>
                <w:szCs w:val="21"/>
                <w:lang w:val="en-US" w:eastAsia="zh-CN"/>
              </w:rPr>
            </w:pPr>
            <w:r>
              <w:rPr>
                <w:rFonts w:hint="eastAsia" w:ascii="宋体" w:hAnsi="宋体"/>
                <w:sz w:val="21"/>
                <w:szCs w:val="21"/>
                <w:lang w:val="en-US" w:eastAsia="zh-CN"/>
              </w:rPr>
              <w:t>2</w:t>
            </w:r>
          </w:p>
        </w:tc>
        <w:tc>
          <w:tcPr>
            <w:tcW w:w="523"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eastAsia="宋体" w:cs="宋体"/>
                <w:color w:val="000000"/>
                <w:lang w:val="en-US" w:eastAsia="zh-CN"/>
              </w:rPr>
              <w:t>核酸提取纯化试剂 （培养细胞DNA提取高灵敏度型）</w:t>
            </w:r>
          </w:p>
        </w:tc>
        <w:tc>
          <w:tcPr>
            <w:tcW w:w="511"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cs="宋体"/>
                <w:color w:val="000000"/>
                <w:lang w:val="en-US" w:eastAsia="zh-CN"/>
              </w:rPr>
              <w:t>25元</w:t>
            </w:r>
          </w:p>
        </w:tc>
        <w:tc>
          <w:tcPr>
            <w:tcW w:w="414"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cs="宋体"/>
                <w:color w:val="000000"/>
                <w:lang w:val="en-US" w:eastAsia="zh-CN"/>
              </w:rPr>
              <w:t>1440人份</w:t>
            </w:r>
          </w:p>
        </w:tc>
        <w:tc>
          <w:tcPr>
            <w:tcW w:w="2873" w:type="pct"/>
            <w:noWrap w:val="0"/>
            <w:vAlign w:val="top"/>
          </w:tcPr>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1.</w:t>
            </w:r>
            <w:r>
              <w:rPr>
                <w:rFonts w:hint="eastAsia"/>
              </w:rPr>
              <w:t>用途：用于核酸的提取、富集、纯化等步骤。其处理后的产物用于临床体外检测使用</w:t>
            </w:r>
            <w:r>
              <w:rPr>
                <w:rFonts w:hint="eastAsia" w:ascii="宋体" w:hAnsi="宋体" w:cs="宋体"/>
                <w:color w:val="000000"/>
                <w:lang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2.</w:t>
            </w:r>
            <w:r>
              <w:rPr>
                <w:rFonts w:hint="eastAsia" w:ascii="Times New Roman" w:hAnsi="Times New Roman" w:eastAsia="宋体" w:cs="Times New Roman"/>
              </w:rPr>
              <w:t>配套医院现有设备全自动核酸纯化仪（设备生产厂家：恺硕生物科技(厦门)有限公司；型号：HF24）使用。</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3.</w:t>
            </w:r>
            <w:r>
              <w:rPr>
                <w:rFonts w:hint="eastAsia" w:ascii="宋体" w:hAnsi="宋体" w:cs="宋体"/>
                <w:sz w:val="21"/>
                <w:szCs w:val="21"/>
                <w:lang w:val="en-US" w:eastAsia="zh-CN"/>
              </w:rPr>
              <w:t>方法学:磁珠法</w:t>
            </w:r>
            <w:r>
              <w:rPr>
                <w:rFonts w:hint="eastAsia" w:ascii="宋体" w:hAnsi="宋体" w:cs="宋体"/>
                <w:color w:val="000000"/>
                <w:lang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 xml:space="preserve">4. </w:t>
            </w:r>
            <w:r>
              <w:rPr>
                <w:rFonts w:hint="eastAsia" w:ascii="宋体" w:hAnsi="宋体" w:cs="宋体"/>
                <w:sz w:val="21"/>
                <w:szCs w:val="21"/>
                <w:lang w:val="en-US" w:eastAsia="zh-CN"/>
              </w:rPr>
              <w:t>12孔预分装试剂条（2加热孔与10个试剂孔）</w:t>
            </w:r>
            <w:r>
              <w:rPr>
                <w:rFonts w:hint="eastAsia" w:ascii="宋体" w:hAnsi="宋体" w:cs="宋体"/>
                <w:color w:val="000000"/>
              </w:rPr>
              <w:t>。</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5.提取产物：DNA提取，1份样本1次提取，同时获得高质量的DNA，可用于后续多项检测项目。</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6.样本类型:</w:t>
            </w:r>
            <w:r>
              <w:rPr>
                <w:rFonts w:hint="eastAsia" w:ascii="宋体" w:hAnsi="宋体" w:cs="宋体"/>
                <w:sz w:val="21"/>
                <w:szCs w:val="21"/>
                <w:lang w:val="en-US" w:eastAsia="zh-CN"/>
              </w:rPr>
              <w:t>培养细胞、羊水、甲状腺</w:t>
            </w:r>
            <w:r>
              <w:rPr>
                <w:rFonts w:hint="eastAsia" w:ascii="宋体" w:hAnsi="宋体" w:cs="宋体"/>
                <w:sz w:val="21"/>
                <w:szCs w:val="21"/>
                <w:highlight w:val="none"/>
                <w:lang w:val="en-US" w:eastAsia="zh-CN"/>
              </w:rPr>
              <w:t>穿刺液基等样本</w:t>
            </w:r>
            <w:r>
              <w:rPr>
                <w:rFonts w:hint="eastAsia" w:ascii="宋体" w:hAnsi="宋体" w:cs="宋体"/>
                <w:color w:val="000000"/>
                <w:lang w:val="en-US" w:eastAsia="zh-CN"/>
              </w:rPr>
              <w:t>。</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7.</w:t>
            </w:r>
            <w:r>
              <w:rPr>
                <w:rFonts w:hint="eastAsia" w:ascii="宋体" w:hAnsi="宋体" w:cs="宋体"/>
                <w:sz w:val="21"/>
                <w:szCs w:val="21"/>
                <w:lang w:val="en-US" w:eastAsia="zh-CN"/>
              </w:rPr>
              <w:t>同款试剂条洗脱液体积可以满足60ul、100ul、150ul、200ul的要求</w:t>
            </w:r>
            <w:r>
              <w:rPr>
                <w:rFonts w:hint="eastAsia" w:ascii="宋体" w:hAnsi="宋体" w:cs="宋体"/>
                <w:color w:val="000000"/>
                <w:lang w:val="en-US" w:eastAsia="zh-CN"/>
              </w:rPr>
              <w:t>。</w:t>
            </w:r>
          </w:p>
          <w:p>
            <w:pPr>
              <w:widowControl/>
              <w:numPr>
                <w:ilvl w:val="0"/>
                <w:numId w:val="0"/>
              </w:numPr>
              <w:jc w:val="left"/>
              <w:textAlignment w:val="center"/>
              <w:rPr>
                <w:rFonts w:hint="eastAsia" w:ascii="宋体" w:hAnsi="宋体" w:cs="宋体"/>
                <w:color w:val="000000"/>
                <w:lang w:val="en-US" w:eastAsia="zh-CN"/>
              </w:rPr>
            </w:pPr>
            <w:r>
              <w:rPr>
                <w:rFonts w:hint="eastAsia" w:ascii="宋体" w:hAnsi="宋体" w:cs="宋体"/>
                <w:color w:val="000000"/>
                <w:lang w:val="en-US" w:eastAsia="zh-CN"/>
              </w:rPr>
              <w:t>8.无需冷链物流，可常温运输及保存。</w:t>
            </w:r>
          </w:p>
          <w:p>
            <w:pPr>
              <w:widowControl/>
              <w:numPr>
                <w:ilvl w:val="0"/>
                <w:numId w:val="0"/>
              </w:numPr>
              <w:jc w:val="left"/>
              <w:textAlignment w:val="center"/>
              <w:rPr>
                <w:rFonts w:hint="eastAsia" w:ascii="宋体" w:hAnsi="宋体" w:cs="宋体"/>
                <w:color w:val="000000"/>
                <w:lang w:eastAsia="zh-CN"/>
              </w:rPr>
            </w:pPr>
            <w:r>
              <w:rPr>
                <w:rFonts w:hint="eastAsia" w:ascii="宋体" w:hAnsi="宋体" w:cs="宋体"/>
                <w:color w:val="000000"/>
                <w:lang w:val="en-US" w:eastAsia="zh-CN"/>
              </w:rPr>
              <w:t>9.效期≥12个月。</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10.双加热孔大小不一，分别用于样本加热和核酸洗脱。</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 xml:space="preserve">11. </w:t>
            </w:r>
            <w:r>
              <w:rPr>
                <w:rFonts w:hint="eastAsia" w:ascii="宋体" w:hAnsi="宋体" w:cs="宋体"/>
                <w:color w:val="000000"/>
                <w:lang w:val="en-US" w:eastAsia="zh-CN"/>
              </w:rPr>
              <w:t>试剂条手柄部分有试剂品相编号，对应设备内预置程序。</w:t>
            </w:r>
          </w:p>
          <w:p>
            <w:pPr>
              <w:pStyle w:val="18"/>
              <w:numPr>
                <w:ilvl w:val="0"/>
                <w:numId w:val="0"/>
              </w:numPr>
              <w:ind w:left="0" w:leftChars="0" w:firstLine="0" w:firstLineChars="0"/>
              <w:rPr>
                <w:rFonts w:hint="eastAsia" w:ascii="宋体" w:hAnsi="宋体" w:eastAsia="宋体" w:cs="宋体"/>
                <w:color w:val="000000"/>
                <w:kern w:val="2"/>
                <w:sz w:val="21"/>
                <w:szCs w:val="22"/>
                <w:lang w:val="en-US" w:eastAsia="zh-CN" w:bidi="ar-SA"/>
              </w:rPr>
            </w:pPr>
            <w:r>
              <w:rPr>
                <w:rFonts w:hint="eastAsia" w:ascii="宋体" w:hAnsi="宋体" w:cs="宋体"/>
                <w:color w:val="000000"/>
                <w:lang w:val="en-US" w:eastAsia="zh-CN"/>
              </w:rPr>
              <w:t>12.使用模式：全自动提取。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69" w:type="pct"/>
            <w:vMerge w:val="continue"/>
            <w:noWrap w:val="0"/>
            <w:vAlign w:val="center"/>
          </w:tcPr>
          <w:p>
            <w:pPr>
              <w:spacing w:line="420" w:lineRule="exact"/>
              <w:jc w:val="center"/>
              <w:rPr>
                <w:rFonts w:hint="eastAsia" w:cs="宋体"/>
                <w:color w:val="000000"/>
                <w:kern w:val="0"/>
              </w:rPr>
            </w:pPr>
          </w:p>
        </w:tc>
        <w:tc>
          <w:tcPr>
            <w:tcW w:w="307"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3</w:t>
            </w:r>
          </w:p>
        </w:tc>
        <w:tc>
          <w:tcPr>
            <w:tcW w:w="523"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eastAsia="宋体" w:cs="宋体"/>
                <w:color w:val="000000"/>
                <w:lang w:val="en-US" w:eastAsia="zh-CN"/>
              </w:rPr>
              <w:t>核酸提取纯化试剂（总RNA型）</w:t>
            </w:r>
          </w:p>
        </w:tc>
        <w:tc>
          <w:tcPr>
            <w:tcW w:w="511"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cs="宋体"/>
                <w:color w:val="000000"/>
                <w:lang w:val="en-US" w:eastAsia="zh-CN"/>
              </w:rPr>
              <w:t>35元</w:t>
            </w:r>
          </w:p>
        </w:tc>
        <w:tc>
          <w:tcPr>
            <w:tcW w:w="414"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cs="宋体"/>
                <w:color w:val="000000"/>
                <w:lang w:val="en-US" w:eastAsia="zh-CN"/>
              </w:rPr>
              <w:t>192人份</w:t>
            </w:r>
          </w:p>
        </w:tc>
        <w:tc>
          <w:tcPr>
            <w:tcW w:w="2873" w:type="pct"/>
            <w:noWrap w:val="0"/>
            <w:vAlign w:val="top"/>
          </w:tcPr>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1.</w:t>
            </w:r>
            <w:r>
              <w:rPr>
                <w:rFonts w:hint="eastAsia"/>
              </w:rPr>
              <w:t>用途：用于核酸的提取、富集、纯化等步骤。其处理后的产物用于临床体外检测使用</w:t>
            </w:r>
            <w:r>
              <w:rPr>
                <w:rFonts w:hint="eastAsia" w:ascii="宋体" w:hAnsi="宋体" w:cs="宋体"/>
                <w:color w:val="000000"/>
                <w:lang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2.</w:t>
            </w:r>
            <w:r>
              <w:rPr>
                <w:rFonts w:hint="eastAsia" w:ascii="Times New Roman" w:hAnsi="Times New Roman" w:eastAsia="宋体" w:cs="Times New Roman"/>
              </w:rPr>
              <w:t>配套医院现有设备全自动核酸纯化仪（设备生产厂家：恺硕生物科技(厦门)有限公司；型号：HF24）使用。</w:t>
            </w:r>
          </w:p>
          <w:p>
            <w:pPr>
              <w:widowControl/>
              <w:jc w:val="left"/>
              <w:textAlignment w:val="center"/>
              <w:rPr>
                <w:rFonts w:hint="eastAsia" w:ascii="宋体" w:hAnsi="宋体" w:cs="宋体"/>
                <w:color w:val="000000"/>
                <w:lang w:eastAsia="zh-CN"/>
              </w:rPr>
            </w:pPr>
            <w:r>
              <w:rPr>
                <w:rFonts w:hint="eastAsia" w:ascii="宋体" w:hAnsi="宋体" w:cs="宋体"/>
                <w:sz w:val="21"/>
                <w:szCs w:val="21"/>
                <w:lang w:val="en-US" w:eastAsia="zh-CN"/>
              </w:rPr>
              <w:t>3.方法学:磁珠法</w:t>
            </w:r>
            <w:r>
              <w:rPr>
                <w:rFonts w:hint="eastAsia" w:ascii="宋体" w:hAnsi="宋体" w:cs="宋体"/>
                <w:color w:val="000000"/>
                <w:lang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 xml:space="preserve">4. </w:t>
            </w:r>
            <w:r>
              <w:rPr>
                <w:rFonts w:hint="eastAsia" w:ascii="宋体" w:hAnsi="宋体" w:cs="宋体"/>
                <w:sz w:val="21"/>
                <w:szCs w:val="21"/>
                <w:lang w:val="en-US" w:eastAsia="zh-CN"/>
              </w:rPr>
              <w:t>12孔预分装试剂条（2加热孔与10个试剂孔）</w:t>
            </w:r>
            <w:r>
              <w:rPr>
                <w:rFonts w:hint="eastAsia" w:ascii="宋体" w:hAnsi="宋体" w:cs="宋体"/>
                <w:color w:val="000000"/>
              </w:rPr>
              <w:t>。</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5.提取产物：DNA提取，1份样本1次提取，同时获得高质量的DNA，可用于后续多项检测项目。</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6.样本类型:</w:t>
            </w:r>
            <w:r>
              <w:rPr>
                <w:rFonts w:hint="eastAsia" w:ascii="宋体" w:hAnsi="宋体" w:cs="宋体"/>
                <w:sz w:val="21"/>
                <w:szCs w:val="21"/>
                <w:lang w:val="en-US" w:eastAsia="zh-CN"/>
              </w:rPr>
              <w:t>全血样本</w:t>
            </w:r>
            <w:r>
              <w:rPr>
                <w:rFonts w:hint="eastAsia" w:ascii="宋体" w:hAnsi="宋体" w:cs="宋体"/>
                <w:color w:val="000000"/>
                <w:lang w:val="en-US"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7.</w:t>
            </w:r>
            <w:r>
              <w:rPr>
                <w:rFonts w:hint="eastAsia" w:ascii="宋体" w:hAnsi="宋体" w:cs="宋体"/>
                <w:sz w:val="21"/>
                <w:szCs w:val="21"/>
                <w:lang w:val="en-US" w:eastAsia="zh-CN"/>
              </w:rPr>
              <w:t>可一次性处理上样量：400μL-800μL</w:t>
            </w:r>
            <w:r>
              <w:rPr>
                <w:rFonts w:hint="eastAsia" w:ascii="宋体" w:hAnsi="宋体" w:cs="宋体"/>
                <w:color w:val="000000"/>
                <w:lang w:val="en-US"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 xml:space="preserve">8. </w:t>
            </w:r>
            <w:r>
              <w:rPr>
                <w:rFonts w:hint="eastAsia" w:ascii="宋体" w:hAnsi="宋体" w:cs="宋体"/>
                <w:color w:val="000000"/>
                <w:lang w:val="en-US" w:eastAsia="zh-CN"/>
              </w:rPr>
              <w:t>同款试剂条洗脱液体积可以满足60ul、100ul、150ul、200ul的要求。</w:t>
            </w:r>
          </w:p>
          <w:p>
            <w:pPr>
              <w:widowControl/>
              <w:numPr>
                <w:ilvl w:val="0"/>
                <w:numId w:val="0"/>
              </w:numPr>
              <w:jc w:val="left"/>
              <w:textAlignment w:val="center"/>
              <w:rPr>
                <w:rFonts w:hint="eastAsia" w:ascii="宋体" w:hAnsi="宋体" w:cs="宋体"/>
                <w:color w:val="000000"/>
                <w:lang w:val="en-US" w:eastAsia="zh-CN"/>
              </w:rPr>
            </w:pPr>
            <w:r>
              <w:rPr>
                <w:rFonts w:hint="eastAsia" w:ascii="宋体" w:hAnsi="宋体" w:cs="宋体"/>
                <w:color w:val="000000"/>
                <w:lang w:val="en-US" w:eastAsia="zh-CN"/>
              </w:rPr>
              <w:t>9.无需冷链物流，可常温运输及保存。</w:t>
            </w:r>
          </w:p>
          <w:p>
            <w:pPr>
              <w:widowControl/>
              <w:numPr>
                <w:ilvl w:val="0"/>
                <w:numId w:val="0"/>
              </w:numPr>
              <w:jc w:val="left"/>
              <w:textAlignment w:val="center"/>
              <w:rPr>
                <w:rFonts w:hint="eastAsia" w:ascii="宋体" w:hAnsi="宋体" w:cs="宋体"/>
                <w:color w:val="000000"/>
                <w:lang w:eastAsia="zh-CN"/>
              </w:rPr>
            </w:pPr>
            <w:r>
              <w:rPr>
                <w:rFonts w:hint="eastAsia" w:ascii="宋体" w:hAnsi="宋体" w:cs="宋体"/>
                <w:color w:val="000000"/>
                <w:lang w:val="en-US" w:eastAsia="zh-CN"/>
              </w:rPr>
              <w:t>10.效期≥12个月。</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11.双加热孔大小不一，分别用于样本加热和核酸洗脱。</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 xml:space="preserve">12. </w:t>
            </w:r>
            <w:r>
              <w:rPr>
                <w:rFonts w:hint="eastAsia" w:ascii="宋体" w:hAnsi="宋体" w:cs="宋体"/>
                <w:color w:val="000000"/>
                <w:lang w:val="en-US" w:eastAsia="zh-CN"/>
              </w:rPr>
              <w:t>试剂条手柄部分有试剂品相编号，对应设备内预置程序。</w:t>
            </w:r>
          </w:p>
          <w:p>
            <w:pPr>
              <w:pStyle w:val="18"/>
              <w:numPr>
                <w:ilvl w:val="0"/>
                <w:numId w:val="0"/>
              </w:numPr>
              <w:ind w:left="0" w:leftChars="0" w:firstLine="0" w:firstLineChars="0"/>
              <w:rPr>
                <w:rFonts w:hint="eastAsia" w:ascii="宋体" w:hAnsi="宋体" w:cs="宋体" w:eastAsiaTheme="minorEastAsia"/>
                <w:color w:val="000000"/>
                <w:kern w:val="2"/>
                <w:sz w:val="21"/>
                <w:szCs w:val="22"/>
                <w:lang w:val="en-US" w:eastAsia="zh-CN" w:bidi="ar-SA"/>
              </w:rPr>
            </w:pPr>
            <w:r>
              <w:rPr>
                <w:rFonts w:hint="eastAsia" w:ascii="宋体" w:hAnsi="宋体" w:cs="宋体"/>
                <w:color w:val="000000"/>
                <w:lang w:val="en-US" w:eastAsia="zh-CN"/>
              </w:rPr>
              <w:t>13.使用模式：全自动提取。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69" w:type="pct"/>
            <w:vMerge w:val="continue"/>
            <w:noWrap w:val="0"/>
            <w:vAlign w:val="center"/>
          </w:tcPr>
          <w:p>
            <w:pPr>
              <w:spacing w:line="420" w:lineRule="exact"/>
              <w:jc w:val="center"/>
              <w:rPr>
                <w:rFonts w:hint="eastAsia" w:cs="宋体"/>
                <w:color w:val="000000"/>
                <w:kern w:val="0"/>
              </w:rPr>
            </w:pPr>
          </w:p>
        </w:tc>
        <w:tc>
          <w:tcPr>
            <w:tcW w:w="307"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4</w:t>
            </w:r>
          </w:p>
        </w:tc>
        <w:tc>
          <w:tcPr>
            <w:tcW w:w="523"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eastAsia="宋体" w:cs="宋体"/>
                <w:color w:val="000000"/>
                <w:lang w:val="en-US" w:eastAsia="zh-CN"/>
              </w:rPr>
              <w:t>核酸提取纯化试剂 （培养细胞DNA提取试剂盒）</w:t>
            </w:r>
          </w:p>
        </w:tc>
        <w:tc>
          <w:tcPr>
            <w:tcW w:w="511"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cs="宋体"/>
                <w:color w:val="000000"/>
                <w:lang w:val="en-US" w:eastAsia="zh-CN"/>
              </w:rPr>
              <w:t>20元</w:t>
            </w:r>
          </w:p>
        </w:tc>
        <w:tc>
          <w:tcPr>
            <w:tcW w:w="414" w:type="pct"/>
            <w:noWrap w:val="0"/>
            <w:vAlign w:val="center"/>
          </w:tcPr>
          <w:p>
            <w:pPr>
              <w:widowControl/>
              <w:jc w:val="center"/>
              <w:textAlignment w:val="center"/>
              <w:rPr>
                <w:rFonts w:hint="eastAsia" w:ascii="宋体" w:hAnsi="宋体" w:eastAsia="宋体" w:cs="宋体"/>
                <w:color w:val="000000"/>
                <w:kern w:val="2"/>
                <w:sz w:val="21"/>
                <w:szCs w:val="22"/>
                <w:lang w:val="en-US" w:eastAsia="zh-CN" w:bidi="ar-SA"/>
              </w:rPr>
            </w:pPr>
            <w:r>
              <w:rPr>
                <w:rFonts w:hint="eastAsia" w:ascii="宋体" w:hAnsi="宋体" w:cs="宋体"/>
                <w:color w:val="000000"/>
                <w:lang w:val="en-US" w:eastAsia="zh-CN"/>
              </w:rPr>
              <w:t>192人份</w:t>
            </w:r>
          </w:p>
        </w:tc>
        <w:tc>
          <w:tcPr>
            <w:tcW w:w="2873" w:type="pct"/>
            <w:noWrap w:val="0"/>
            <w:vAlign w:val="top"/>
          </w:tcPr>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1.</w:t>
            </w:r>
            <w:r>
              <w:rPr>
                <w:rFonts w:hint="eastAsia"/>
              </w:rPr>
              <w:t>用途：用于核酸的提取、富集、纯化等步骤。其处理后的产物用于临床体外检测使用</w:t>
            </w:r>
            <w:r>
              <w:rPr>
                <w:rFonts w:hint="eastAsia" w:ascii="宋体" w:hAnsi="宋体" w:cs="宋体"/>
                <w:color w:val="000000"/>
                <w:lang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2.</w:t>
            </w:r>
            <w:r>
              <w:rPr>
                <w:rFonts w:hint="eastAsia" w:ascii="Times New Roman" w:hAnsi="Times New Roman" w:eastAsia="宋体" w:cs="Times New Roman"/>
              </w:rPr>
              <w:t>配套医院现有设备全自动核酸纯化仪（设备生产厂家：恺硕生物科技(厦门)有限公司；型号：HF24）使用。</w:t>
            </w:r>
          </w:p>
          <w:p>
            <w:pPr>
              <w:widowControl/>
              <w:jc w:val="left"/>
              <w:textAlignment w:val="center"/>
              <w:rPr>
                <w:rFonts w:hint="eastAsia" w:ascii="宋体" w:hAnsi="宋体" w:cs="宋体"/>
                <w:color w:val="000000"/>
                <w:lang w:eastAsia="zh-CN"/>
              </w:rPr>
            </w:pPr>
            <w:r>
              <w:rPr>
                <w:rFonts w:hint="eastAsia" w:ascii="宋体" w:hAnsi="宋体" w:cs="宋体"/>
                <w:sz w:val="21"/>
                <w:szCs w:val="21"/>
                <w:lang w:val="en-US" w:eastAsia="zh-CN"/>
              </w:rPr>
              <w:t>3.方法学:磁珠法</w:t>
            </w:r>
            <w:r>
              <w:rPr>
                <w:rFonts w:hint="eastAsia" w:ascii="宋体" w:hAnsi="宋体" w:cs="宋体"/>
                <w:color w:val="000000"/>
                <w:lang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 xml:space="preserve">4. </w:t>
            </w:r>
            <w:r>
              <w:rPr>
                <w:rFonts w:hint="eastAsia" w:ascii="宋体" w:hAnsi="宋体" w:cs="宋体"/>
                <w:sz w:val="21"/>
                <w:szCs w:val="21"/>
                <w:lang w:val="en-US" w:eastAsia="zh-CN"/>
              </w:rPr>
              <w:t>12孔预分装试剂条（2加热孔与10个试剂孔）</w:t>
            </w:r>
            <w:r>
              <w:rPr>
                <w:rFonts w:hint="eastAsia" w:ascii="宋体" w:hAnsi="宋体" w:cs="宋体"/>
                <w:color w:val="000000"/>
              </w:rPr>
              <w:t>。</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5.提取产物：DNA提取，1份样本1次提取，同时获得高质量的DNA，可用于后续多项检测项目。</w:t>
            </w:r>
          </w:p>
          <w:p>
            <w:pPr>
              <w:widowControl/>
              <w:jc w:val="left"/>
              <w:textAlignment w:val="center"/>
              <w:rPr>
                <w:rFonts w:hint="eastAsia" w:ascii="宋体" w:hAnsi="宋体" w:cs="宋体"/>
                <w:color w:val="000000"/>
                <w:lang w:eastAsia="zh-CN"/>
              </w:rPr>
            </w:pPr>
            <w:r>
              <w:rPr>
                <w:rFonts w:hint="eastAsia" w:ascii="宋体" w:hAnsi="宋体" w:cs="宋体"/>
                <w:color w:val="000000"/>
                <w:lang w:val="en-US" w:eastAsia="zh-CN"/>
              </w:rPr>
              <w:t>6.样本类型:</w:t>
            </w:r>
            <w:r>
              <w:rPr>
                <w:rFonts w:hint="eastAsia" w:ascii="宋体" w:hAnsi="宋体" w:cs="宋体"/>
                <w:sz w:val="21"/>
                <w:szCs w:val="21"/>
                <w:lang w:val="en-US" w:eastAsia="zh-CN"/>
              </w:rPr>
              <w:t>培养细胞、羊水、甲状腺穿刺液基等样本</w:t>
            </w:r>
            <w:r>
              <w:rPr>
                <w:rFonts w:hint="eastAsia" w:ascii="宋体" w:hAnsi="宋体" w:cs="宋体"/>
                <w:color w:val="000000"/>
                <w:lang w:val="en-US" w:eastAsia="zh-CN"/>
              </w:rPr>
              <w:t>。</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 xml:space="preserve">7. </w:t>
            </w:r>
            <w:r>
              <w:rPr>
                <w:rFonts w:hint="eastAsia" w:ascii="宋体" w:hAnsi="宋体" w:cs="宋体"/>
                <w:color w:val="000000"/>
                <w:lang w:val="en-US" w:eastAsia="zh-CN"/>
              </w:rPr>
              <w:t>同款试剂条洗脱液体积可以满足60ul、100ul、150ul、200ul的要求。</w:t>
            </w:r>
          </w:p>
          <w:p>
            <w:pPr>
              <w:widowControl/>
              <w:numPr>
                <w:ilvl w:val="0"/>
                <w:numId w:val="0"/>
              </w:numPr>
              <w:jc w:val="left"/>
              <w:textAlignment w:val="center"/>
              <w:rPr>
                <w:rFonts w:hint="eastAsia" w:ascii="宋体" w:hAnsi="宋体" w:cs="宋体"/>
                <w:color w:val="000000"/>
                <w:lang w:val="en-US" w:eastAsia="zh-CN"/>
              </w:rPr>
            </w:pPr>
            <w:r>
              <w:rPr>
                <w:rFonts w:hint="eastAsia" w:ascii="宋体" w:hAnsi="宋体" w:cs="宋体"/>
                <w:color w:val="000000"/>
                <w:lang w:val="en-US" w:eastAsia="zh-CN"/>
              </w:rPr>
              <w:t>8.无需冷链物流，可常温运输及保存。</w:t>
            </w:r>
          </w:p>
          <w:p>
            <w:pPr>
              <w:widowControl/>
              <w:numPr>
                <w:ilvl w:val="0"/>
                <w:numId w:val="0"/>
              </w:numPr>
              <w:jc w:val="left"/>
              <w:textAlignment w:val="center"/>
              <w:rPr>
                <w:rFonts w:hint="eastAsia" w:ascii="宋体" w:hAnsi="宋体" w:cs="宋体"/>
                <w:color w:val="000000"/>
                <w:lang w:eastAsia="zh-CN"/>
              </w:rPr>
            </w:pPr>
            <w:r>
              <w:rPr>
                <w:rFonts w:hint="eastAsia" w:ascii="宋体" w:hAnsi="宋体" w:cs="宋体"/>
                <w:color w:val="000000"/>
                <w:lang w:val="en-US" w:eastAsia="zh-CN"/>
              </w:rPr>
              <w:t>9.效期≥12个月。</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ascii="宋体" w:hAnsi="宋体" w:cs="宋体"/>
                <w:color w:val="000000"/>
                <w:lang w:val="en-US" w:eastAsia="zh-CN"/>
              </w:rPr>
              <w:t>10.双加热孔大小不一，分别用于样本加热和核酸洗脱。</w:t>
            </w:r>
          </w:p>
          <w:p>
            <w:pPr>
              <w:widowControl/>
              <w:jc w:val="left"/>
              <w:textAlignment w:val="center"/>
              <w:rPr>
                <w:rFonts w:hint="eastAsia" w:ascii="宋体" w:hAnsi="宋体" w:cs="宋体"/>
                <w:color w:val="000000"/>
                <w:lang w:eastAsia="zh-CN"/>
              </w:rPr>
            </w:pPr>
            <w:r>
              <w:rPr>
                <w:rFonts w:hint="eastAsia" w:ascii="Times New Roman" w:hAnsi="Times New Roman" w:eastAsia="宋体" w:cs="Times New Roman"/>
              </w:rPr>
              <w:t>*</w:t>
            </w:r>
            <w:r>
              <w:rPr>
                <w:rFonts w:hint="eastAsia" w:cs="Times New Roman"/>
                <w:lang w:val="en-US" w:eastAsia="zh-CN"/>
              </w:rPr>
              <w:t xml:space="preserve">11. </w:t>
            </w:r>
            <w:r>
              <w:rPr>
                <w:rFonts w:hint="eastAsia" w:ascii="宋体" w:hAnsi="宋体" w:cs="宋体"/>
                <w:color w:val="000000"/>
                <w:lang w:val="en-US" w:eastAsia="zh-CN"/>
              </w:rPr>
              <w:t>试剂条手柄部分有试剂品相编号，对应设备内预置程序。</w:t>
            </w:r>
          </w:p>
          <w:p>
            <w:pPr>
              <w:pStyle w:val="18"/>
              <w:numPr>
                <w:ilvl w:val="0"/>
                <w:numId w:val="0"/>
              </w:numPr>
              <w:ind w:left="0" w:leftChars="0" w:firstLine="0" w:firstLineChars="0"/>
              <w:rPr>
                <w:rFonts w:hint="eastAsia" w:ascii="宋体" w:hAnsi="宋体" w:cs="宋体" w:eastAsiaTheme="minorEastAsia"/>
                <w:color w:val="000000"/>
                <w:kern w:val="2"/>
                <w:sz w:val="21"/>
                <w:szCs w:val="22"/>
                <w:lang w:val="en-US" w:eastAsia="zh-CN" w:bidi="ar-SA"/>
              </w:rPr>
            </w:pPr>
            <w:r>
              <w:rPr>
                <w:rFonts w:hint="eastAsia" w:ascii="宋体" w:hAnsi="宋体" w:cs="宋体"/>
                <w:color w:val="000000"/>
                <w:lang w:val="en-US" w:eastAsia="zh-CN"/>
              </w:rPr>
              <w:t>12.使用模式：全自动提取。</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w:t>
      </w:r>
      <w:bookmarkStart w:id="135" w:name="_GoBack"/>
      <w:bookmarkEnd w:id="135"/>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r>
        <w:rPr>
          <w:rFonts w:hint="eastAsia" w:ascii="宋体" w:hAnsi="宋体" w:eastAsia="宋体" w:cs="Segoe UI"/>
          <w:b/>
          <w:bCs/>
          <w:kern w:val="0"/>
          <w:sz w:val="28"/>
          <w:szCs w:val="28"/>
        </w:rPr>
        <w:br w:type="page"/>
      </w: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46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
        <w:gridCol w:w="1092"/>
        <w:gridCol w:w="985"/>
        <w:gridCol w:w="4190"/>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 w:type="pct"/>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592" w:type="pct"/>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534" w:type="pct"/>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272" w:type="pct"/>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1348" w:type="pct"/>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250" w:type="pct"/>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1</w:t>
            </w:r>
          </w:p>
        </w:tc>
        <w:tc>
          <w:tcPr>
            <w:tcW w:w="592" w:type="pct"/>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30%</w:t>
            </w:r>
          </w:p>
        </w:tc>
        <w:tc>
          <w:tcPr>
            <w:tcW w:w="534" w:type="pct"/>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30</w:t>
            </w:r>
          </w:p>
        </w:tc>
        <w:tc>
          <w:tcPr>
            <w:tcW w:w="2272" w:type="pct"/>
            <w:vAlign w:val="center"/>
          </w:tcPr>
          <w:p>
            <w:pPr>
              <w:widowControl/>
              <w:wordWrap w:val="0"/>
              <w:spacing w:line="270" w:lineRule="atLeast"/>
              <w:jc w:val="left"/>
              <w:rPr>
                <w:rFonts w:ascii="宋体" w:hAnsi="宋体" w:cs="Segoe UI"/>
                <w:b/>
                <w:kern w:val="0"/>
                <w:sz w:val="18"/>
                <w:szCs w:val="18"/>
              </w:rPr>
            </w:pPr>
            <w:r>
              <w:rPr>
                <w:rFonts w:hint="eastAsia" w:ascii="宋体" w:hAnsi="宋体" w:cs="Segoe UI"/>
                <w:kern w:val="0"/>
                <w:sz w:val="18"/>
                <w:szCs w:val="18"/>
              </w:rPr>
              <w:t>投标材料满足招标文件要求且以</w:t>
            </w:r>
            <w:r>
              <w:rPr>
                <w:rFonts w:hint="eastAsia" w:ascii="宋体" w:hAnsi="宋体" w:cs="Segoe UI"/>
                <w:b/>
                <w:bCs/>
                <w:kern w:val="0"/>
                <w:sz w:val="18"/>
                <w:szCs w:val="18"/>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，其价格分为30分。其他投标人的价格分统一按照以下公式计算：价格分=(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／投标总价)×30</w:t>
            </w:r>
          </w:p>
        </w:tc>
        <w:tc>
          <w:tcPr>
            <w:tcW w:w="1348" w:type="pct"/>
            <w:vAlign w:val="center"/>
          </w:tcPr>
          <w:p>
            <w:pPr>
              <w:widowControl/>
              <w:numPr>
                <w:ilvl w:val="0"/>
                <w:numId w:val="1"/>
              </w:numPr>
              <w:wordWrap w:val="0"/>
              <w:spacing w:line="270" w:lineRule="atLeast"/>
              <w:jc w:val="left"/>
              <w:rPr>
                <w:rFonts w:ascii="宋体" w:hAnsi="宋体" w:cs="Segoe UI"/>
                <w:kern w:val="0"/>
                <w:sz w:val="18"/>
                <w:szCs w:val="18"/>
              </w:rPr>
            </w:pPr>
            <w:r>
              <w:rPr>
                <w:rFonts w:hint="eastAsia" w:ascii="宋体" w:hAnsi="宋体" w:cs="Segoe UI"/>
                <w:b/>
                <w:kern w:val="0"/>
                <w:sz w:val="18"/>
                <w:szCs w:val="18"/>
              </w:rPr>
              <w:t>投标总价</w:t>
            </w:r>
            <w:r>
              <w:rPr>
                <w:rFonts w:hint="eastAsia" w:ascii="宋体" w:hAnsi="宋体" w:cs="Segoe UI"/>
                <w:kern w:val="0"/>
                <w:sz w:val="18"/>
                <w:szCs w:val="18"/>
              </w:rPr>
              <w:t>=单价*预估年度用量之和;</w:t>
            </w:r>
          </w:p>
          <w:p>
            <w:pPr>
              <w:widowControl/>
              <w:numPr>
                <w:ilvl w:val="0"/>
                <w:numId w:val="1"/>
              </w:numPr>
              <w:wordWrap w:val="0"/>
              <w:spacing w:line="270" w:lineRule="atLeast"/>
              <w:jc w:val="left"/>
              <w:rPr>
                <w:rFonts w:ascii="宋体" w:hAnsi="宋体" w:cs="Segoe UI"/>
                <w:kern w:val="0"/>
                <w:sz w:val="18"/>
                <w:szCs w:val="18"/>
              </w:rPr>
            </w:pPr>
            <w:r>
              <w:rPr>
                <w:rFonts w:hint="eastAsia" w:ascii="宋体" w:hAnsi="宋体" w:cs="宋体"/>
                <w:kern w:val="0"/>
                <w:sz w:val="18"/>
                <w:szCs w:val="18"/>
              </w:rPr>
              <w:t>产品有细分规格且报价不同，则按照同品类平均价计算单价。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250" w:type="pct"/>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2</w:t>
            </w:r>
          </w:p>
        </w:tc>
        <w:tc>
          <w:tcPr>
            <w:tcW w:w="592" w:type="pct"/>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50.5</w:t>
            </w:r>
            <w:r>
              <w:rPr>
                <w:rFonts w:hint="eastAsia" w:ascii="宋体" w:hAnsi="宋体" w:cs="Segoe UI"/>
                <w:color w:val="000000"/>
                <w:kern w:val="0"/>
                <w:sz w:val="18"/>
                <w:szCs w:val="18"/>
              </w:rPr>
              <w:t>%</w:t>
            </w:r>
          </w:p>
        </w:tc>
        <w:tc>
          <w:tcPr>
            <w:tcW w:w="534" w:type="pct"/>
            <w:vAlign w:val="center"/>
          </w:tcPr>
          <w:p>
            <w:pPr>
              <w:widowControl/>
              <w:wordWrap w:val="0"/>
              <w:spacing w:line="270" w:lineRule="atLeast"/>
              <w:jc w:val="center"/>
              <w:rPr>
                <w:rFonts w:hint="default" w:ascii="宋体" w:hAnsi="宋体" w:eastAsia="宋体" w:cs="Segoe UI"/>
                <w:color w:val="333333"/>
                <w:kern w:val="0"/>
                <w:sz w:val="18"/>
                <w:szCs w:val="18"/>
                <w:lang w:val="en-US" w:eastAsia="zh-CN"/>
              </w:rPr>
            </w:pPr>
            <w:r>
              <w:rPr>
                <w:rFonts w:hint="eastAsia" w:ascii="宋体" w:hAnsi="宋体" w:cs="Segoe UI"/>
                <w:color w:val="000000"/>
                <w:kern w:val="0"/>
                <w:sz w:val="18"/>
                <w:szCs w:val="18"/>
                <w:lang w:val="en-US" w:eastAsia="zh-CN"/>
              </w:rPr>
              <w:t>50.5</w:t>
            </w:r>
          </w:p>
        </w:tc>
        <w:tc>
          <w:tcPr>
            <w:tcW w:w="2272" w:type="pct"/>
            <w:vAlign w:val="center"/>
          </w:tcPr>
          <w:p>
            <w:pPr>
              <w:widowControl/>
              <w:wordWrap w:val="0"/>
              <w:spacing w:line="270" w:lineRule="atLeast"/>
              <w:jc w:val="left"/>
              <w:rPr>
                <w:rFonts w:ascii="宋体" w:hAnsi="宋体" w:cs="Segoe UI"/>
                <w:kern w:val="0"/>
                <w:sz w:val="18"/>
                <w:szCs w:val="18"/>
              </w:rPr>
            </w:pPr>
            <w:r>
              <w:rPr>
                <w:rFonts w:hint="eastAsia" w:ascii="宋体" w:hAnsi="宋体" w:cs="宋体"/>
                <w:kern w:val="0"/>
                <w:sz w:val="18"/>
                <w:szCs w:val="18"/>
              </w:rPr>
              <w:t>投标人提供的试剂耗材的技术参数完全符合招标文件要求，没有负偏离得</w:t>
            </w:r>
            <w:r>
              <w:rPr>
                <w:rFonts w:hint="eastAsia" w:ascii="宋体" w:hAnsi="宋体" w:cs="宋体"/>
                <w:kern w:val="0"/>
                <w:sz w:val="18"/>
                <w:szCs w:val="18"/>
                <w:lang w:val="en-US" w:eastAsia="zh-CN"/>
              </w:rPr>
              <w:t>50.5</w:t>
            </w:r>
            <w:r>
              <w:rPr>
                <w:rFonts w:hint="eastAsia" w:ascii="宋体" w:hAnsi="宋体" w:cs="宋体"/>
                <w:kern w:val="0"/>
                <w:sz w:val="18"/>
                <w:szCs w:val="18"/>
              </w:rPr>
              <w:t>分；“*”条款技术参数不满足招标文件要求（负偏离），一次扣</w:t>
            </w:r>
            <w:r>
              <w:rPr>
                <w:rFonts w:hint="eastAsia" w:ascii="宋体" w:hAnsi="宋体" w:cs="宋体"/>
                <w:kern w:val="0"/>
                <w:sz w:val="18"/>
                <w:szCs w:val="18"/>
                <w:lang w:val="en-US" w:eastAsia="zh-CN"/>
              </w:rPr>
              <w:t>1.5</w:t>
            </w:r>
            <w:r>
              <w:rPr>
                <w:rFonts w:hint="eastAsia" w:ascii="宋体" w:hAnsi="宋体" w:cs="宋体"/>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非“*”条款技术参数不满足招标文件要求（负偏离），一次扣</w:t>
            </w:r>
            <w:r>
              <w:rPr>
                <w:rFonts w:hint="eastAsia" w:ascii="宋体" w:hAnsi="宋体" w:cs="宋体"/>
                <w:kern w:val="0"/>
                <w:sz w:val="18"/>
                <w:szCs w:val="18"/>
                <w:lang w:val="en-US" w:eastAsia="zh-CN"/>
              </w:rPr>
              <w:t>1</w:t>
            </w:r>
            <w:r>
              <w:rPr>
                <w:rFonts w:hint="eastAsia" w:ascii="宋体" w:hAnsi="宋体" w:cs="宋体"/>
                <w:kern w:val="0"/>
                <w:sz w:val="18"/>
                <w:szCs w:val="18"/>
              </w:rPr>
              <w:t>分，扣完为止。</w:t>
            </w:r>
          </w:p>
        </w:tc>
        <w:tc>
          <w:tcPr>
            <w:tcW w:w="1348" w:type="pct"/>
            <w:vAlign w:val="center"/>
          </w:tcPr>
          <w:p>
            <w:pPr>
              <w:widowControl/>
              <w:wordWrap w:val="0"/>
              <w:spacing w:line="270" w:lineRule="atLeast"/>
              <w:jc w:val="left"/>
              <w:rPr>
                <w:rFonts w:ascii="宋体" w:hAnsi="宋体" w:cs="Segoe UI"/>
                <w:kern w:val="0"/>
                <w:sz w:val="18"/>
                <w:szCs w:val="18"/>
              </w:rPr>
            </w:pPr>
            <w:r>
              <w:rPr>
                <w:rFonts w:hint="eastAsia" w:ascii="宋体" w:hAnsi="宋体" w:cs="Segoe UI"/>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250" w:type="pct"/>
            <w:vAlign w:val="center"/>
          </w:tcPr>
          <w:p>
            <w:pPr>
              <w:widowControl/>
              <w:wordWrap w:val="0"/>
              <w:spacing w:line="270" w:lineRule="atLeast"/>
              <w:jc w:val="center"/>
              <w:rPr>
                <w:rFonts w:hint="eastAsia" w:ascii="宋体" w:hAnsi="宋体" w:eastAsia="宋体" w:cs="Segoe UI"/>
                <w:color w:val="333333"/>
                <w:kern w:val="0"/>
                <w:sz w:val="18"/>
                <w:szCs w:val="18"/>
                <w:lang w:eastAsia="zh-CN"/>
              </w:rPr>
            </w:pPr>
            <w:r>
              <w:rPr>
                <w:rFonts w:hint="eastAsia" w:ascii="宋体" w:hAnsi="宋体" w:cs="Segoe UI"/>
                <w:color w:val="000000"/>
                <w:kern w:val="0"/>
                <w:sz w:val="18"/>
                <w:szCs w:val="18"/>
                <w:lang w:val="en-US" w:eastAsia="zh-CN"/>
              </w:rPr>
              <w:t>3</w:t>
            </w:r>
          </w:p>
        </w:tc>
        <w:tc>
          <w:tcPr>
            <w:tcW w:w="592" w:type="pct"/>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1</w:t>
            </w:r>
            <w:r>
              <w:rPr>
                <w:rFonts w:hint="eastAsia" w:ascii="宋体" w:hAnsi="宋体" w:cs="Segoe UI"/>
                <w:color w:val="000000"/>
                <w:kern w:val="0"/>
                <w:sz w:val="18"/>
                <w:szCs w:val="18"/>
                <w:lang w:val="en-US" w:eastAsia="zh-CN"/>
              </w:rPr>
              <w:t>0.5</w:t>
            </w:r>
            <w:r>
              <w:rPr>
                <w:rFonts w:hint="eastAsia" w:ascii="宋体" w:hAnsi="宋体" w:cs="Segoe UI"/>
                <w:color w:val="000000"/>
                <w:kern w:val="0"/>
                <w:sz w:val="18"/>
                <w:szCs w:val="18"/>
              </w:rPr>
              <w:t>%</w:t>
            </w:r>
          </w:p>
        </w:tc>
        <w:tc>
          <w:tcPr>
            <w:tcW w:w="534" w:type="pct"/>
            <w:vAlign w:val="center"/>
          </w:tcPr>
          <w:p>
            <w:pPr>
              <w:widowControl/>
              <w:wordWrap w:val="0"/>
              <w:spacing w:line="270" w:lineRule="atLeast"/>
              <w:jc w:val="center"/>
              <w:rPr>
                <w:rFonts w:hint="default" w:ascii="宋体" w:hAnsi="宋体" w:eastAsia="宋体" w:cs="Segoe UI"/>
                <w:color w:val="333333"/>
                <w:kern w:val="0"/>
                <w:sz w:val="18"/>
                <w:szCs w:val="18"/>
                <w:lang w:val="en-US" w:eastAsia="zh-CN"/>
              </w:rPr>
            </w:pPr>
            <w:r>
              <w:rPr>
                <w:rFonts w:hint="eastAsia" w:ascii="宋体" w:hAnsi="宋体" w:cs="Segoe UI"/>
                <w:color w:val="333333"/>
                <w:kern w:val="0"/>
                <w:sz w:val="18"/>
                <w:szCs w:val="18"/>
              </w:rPr>
              <w:t>1</w:t>
            </w:r>
            <w:r>
              <w:rPr>
                <w:rFonts w:hint="eastAsia" w:ascii="宋体" w:hAnsi="宋体" w:cs="Segoe UI"/>
                <w:color w:val="333333"/>
                <w:kern w:val="0"/>
                <w:sz w:val="18"/>
                <w:szCs w:val="18"/>
                <w:lang w:val="en-US" w:eastAsia="zh-CN"/>
              </w:rPr>
              <w:t>0.5</w:t>
            </w:r>
          </w:p>
        </w:tc>
        <w:tc>
          <w:tcPr>
            <w:tcW w:w="2272" w:type="pct"/>
            <w:vAlign w:val="center"/>
          </w:tcPr>
          <w:p>
            <w:pPr>
              <w:widowControl/>
              <w:wordWrap w:val="0"/>
              <w:spacing w:line="270" w:lineRule="atLeast"/>
              <w:jc w:val="left"/>
              <w:rPr>
                <w:rFonts w:ascii="宋体" w:hAnsi="宋体" w:cs="宋体"/>
                <w:color w:val="333333"/>
                <w:kern w:val="0"/>
                <w:sz w:val="18"/>
                <w:szCs w:val="18"/>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投标人</w:t>
            </w:r>
            <w:r>
              <w:rPr>
                <w:rFonts w:hint="eastAsia" w:ascii="宋体" w:hAnsi="宋体" w:cs="宋体"/>
                <w:color w:val="000000"/>
                <w:kern w:val="0"/>
                <w:sz w:val="18"/>
                <w:szCs w:val="18"/>
              </w:rPr>
              <w:t>202</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年以来在国内三甲医疗机构销售</w:t>
            </w:r>
            <w:r>
              <w:rPr>
                <w:rFonts w:hint="eastAsia" w:ascii="宋体" w:hAnsi="宋体" w:cs="宋体"/>
                <w:b/>
                <w:bCs/>
                <w:color w:val="000000"/>
                <w:kern w:val="0"/>
                <w:sz w:val="18"/>
                <w:szCs w:val="18"/>
              </w:rPr>
              <w:t>响应产品</w:t>
            </w:r>
            <w:r>
              <w:rPr>
                <w:rFonts w:hint="eastAsia" w:ascii="宋体" w:hAnsi="宋体" w:cs="宋体"/>
                <w:color w:val="000000"/>
                <w:kern w:val="0"/>
                <w:sz w:val="18"/>
                <w:szCs w:val="18"/>
              </w:rPr>
              <w:t>的业绩证明，每提供1家三甲医疗机构得2分，最多1</w:t>
            </w:r>
            <w:r>
              <w:rPr>
                <w:rFonts w:hint="eastAsia" w:ascii="宋体" w:hAnsi="宋体" w:cs="宋体"/>
                <w:color w:val="000000"/>
                <w:kern w:val="0"/>
                <w:sz w:val="18"/>
                <w:szCs w:val="18"/>
                <w:lang w:val="en-US" w:eastAsia="zh-CN"/>
              </w:rPr>
              <w:t>0.5</w:t>
            </w:r>
            <w:r>
              <w:rPr>
                <w:rFonts w:hint="eastAsia" w:ascii="宋体" w:hAnsi="宋体" w:cs="宋体"/>
                <w:color w:val="000000"/>
                <w:kern w:val="0"/>
                <w:sz w:val="18"/>
                <w:szCs w:val="18"/>
              </w:rPr>
              <w:t>分。</w:t>
            </w:r>
          </w:p>
        </w:tc>
        <w:tc>
          <w:tcPr>
            <w:tcW w:w="1348" w:type="pct"/>
            <w:vAlign w:val="center"/>
          </w:tcPr>
          <w:p>
            <w:pPr>
              <w:widowControl/>
              <w:wordWrap w:val="0"/>
              <w:spacing w:line="270" w:lineRule="atLeast"/>
              <w:jc w:val="left"/>
              <w:rPr>
                <w:rFonts w:ascii="宋体" w:hAnsi="宋体" w:cs="宋体"/>
                <w:kern w:val="0"/>
                <w:sz w:val="18"/>
                <w:szCs w:val="18"/>
              </w:rPr>
            </w:pPr>
            <w:r>
              <w:rPr>
                <w:rFonts w:hint="eastAsia" w:ascii="宋体" w:hAnsi="宋体" w:cs="宋体"/>
                <w:kern w:val="0"/>
                <w:sz w:val="18"/>
                <w:szCs w:val="18"/>
              </w:rPr>
              <w:t>需提供以下证明资料如下：</w:t>
            </w:r>
          </w:p>
          <w:p>
            <w:pPr>
              <w:widowControl/>
              <w:wordWrap w:val="0"/>
              <w:spacing w:line="270" w:lineRule="atLeast"/>
              <w:jc w:val="left"/>
              <w:rPr>
                <w:rFonts w:ascii="宋体" w:hAnsi="宋体" w:cs="宋体" w:eastAsiaTheme="minorEastAsia"/>
                <w:kern w:val="0"/>
                <w:sz w:val="18"/>
                <w:szCs w:val="18"/>
              </w:rPr>
            </w:pPr>
            <w:r>
              <w:rPr>
                <w:rFonts w:hint="eastAsia" w:ascii="宋体" w:hAnsi="宋体" w:cs="宋体"/>
                <w:kern w:val="0"/>
                <w:sz w:val="18"/>
                <w:szCs w:val="18"/>
              </w:rPr>
              <w:t>1.合同复印件（说明：合同无产品明细需提供发票复印件，若发票复印件上也无产品明细则需附销货清单）。</w:t>
            </w:r>
          </w:p>
          <w:p>
            <w:pPr>
              <w:widowControl/>
              <w:wordWrap w:val="0"/>
              <w:spacing w:line="270" w:lineRule="atLeast"/>
              <w:jc w:val="left"/>
              <w:rPr>
                <w:rFonts w:ascii="宋体" w:hAnsi="宋体" w:cs="Segoe UI"/>
                <w:color w:val="000000"/>
                <w:kern w:val="0"/>
                <w:sz w:val="18"/>
                <w:szCs w:val="18"/>
              </w:rPr>
            </w:pPr>
            <w:r>
              <w:rPr>
                <w:rFonts w:hint="eastAsia" w:ascii="宋体" w:hAnsi="宋体" w:cs="宋体"/>
                <w:kern w:val="0"/>
                <w:sz w:val="18"/>
                <w:szCs w:val="18"/>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250" w:type="pct"/>
            <w:vAlign w:val="center"/>
          </w:tcPr>
          <w:p>
            <w:pPr>
              <w:widowControl/>
              <w:wordWrap w:val="0"/>
              <w:spacing w:line="270" w:lineRule="atLeast"/>
              <w:jc w:val="center"/>
              <w:rPr>
                <w:rFonts w:hint="eastAsia" w:ascii="宋体" w:hAnsi="宋体" w:eastAsia="宋体" w:cs="Segoe UI"/>
                <w:color w:val="000000"/>
                <w:kern w:val="0"/>
                <w:sz w:val="18"/>
                <w:szCs w:val="18"/>
                <w:lang w:eastAsia="zh-CN"/>
              </w:rPr>
            </w:pPr>
            <w:r>
              <w:rPr>
                <w:rFonts w:hint="eastAsia" w:ascii="宋体" w:hAnsi="宋体" w:cs="Segoe UI"/>
                <w:color w:val="000000"/>
                <w:kern w:val="0"/>
                <w:sz w:val="18"/>
                <w:szCs w:val="18"/>
                <w:lang w:val="en-US" w:eastAsia="zh-CN"/>
              </w:rPr>
              <w:t>4</w:t>
            </w:r>
          </w:p>
        </w:tc>
        <w:tc>
          <w:tcPr>
            <w:tcW w:w="592" w:type="pct"/>
            <w:vAlign w:val="center"/>
          </w:tcPr>
          <w:p>
            <w:pPr>
              <w:widowControl/>
              <w:wordWrap w:val="0"/>
              <w:spacing w:line="270" w:lineRule="atLeast"/>
              <w:jc w:val="center"/>
              <w:rPr>
                <w:rFonts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rPr>
            </w:pPr>
            <w:r>
              <w:rPr>
                <w:rFonts w:hint="eastAsia" w:ascii="宋体" w:hAnsi="宋体" w:cs="宋体"/>
                <w:color w:val="000000"/>
                <w:kern w:val="0"/>
                <w:sz w:val="18"/>
                <w:szCs w:val="18"/>
              </w:rPr>
              <w:t>9%</w:t>
            </w:r>
          </w:p>
        </w:tc>
        <w:tc>
          <w:tcPr>
            <w:tcW w:w="534" w:type="pct"/>
            <w:vAlign w:val="center"/>
          </w:tcPr>
          <w:p>
            <w:pPr>
              <w:widowControl/>
              <w:spacing w:line="320" w:lineRule="atLeast"/>
              <w:ind w:left="-105" w:right="-107"/>
              <w:jc w:val="center"/>
              <w:rPr>
                <w:rFonts w:ascii="宋体" w:hAnsi="宋体" w:cs="Segoe UI"/>
                <w:color w:val="333333"/>
                <w:kern w:val="0"/>
                <w:sz w:val="18"/>
                <w:szCs w:val="18"/>
              </w:rPr>
            </w:pPr>
            <w:r>
              <w:rPr>
                <w:rFonts w:hint="eastAsia" w:ascii="宋体" w:hAnsi="宋体" w:cs="Segoe UI"/>
                <w:color w:val="333333"/>
                <w:kern w:val="0"/>
                <w:sz w:val="18"/>
                <w:szCs w:val="18"/>
              </w:rPr>
              <w:t>9</w:t>
            </w:r>
          </w:p>
        </w:tc>
        <w:tc>
          <w:tcPr>
            <w:tcW w:w="2272" w:type="pct"/>
            <w:vAlign w:val="center"/>
          </w:tcPr>
          <w:p>
            <w:pPr>
              <w:wordWrap w:val="0"/>
              <w:jc w:val="left"/>
              <w:rPr>
                <w:rFonts w:ascii="宋体" w:hAnsi="宋体" w:cs="Segoe UI"/>
                <w:color w:val="000000"/>
                <w:kern w:val="0"/>
                <w:sz w:val="18"/>
                <w:szCs w:val="18"/>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9分。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分；每有一项存在缺陷或漏洞的，且不利于项目实施的扣1</w:t>
            </w:r>
            <w:r>
              <w:rPr>
                <w:rFonts w:hint="eastAsia" w:ascii="宋体" w:hAnsi="宋体" w:cs="宋体"/>
                <w:kern w:val="0"/>
                <w:sz w:val="18"/>
                <w:szCs w:val="18"/>
                <w:lang w:val="en-US" w:eastAsia="zh-CN" w:bidi="ar"/>
              </w:rPr>
              <w:t>.5</w:t>
            </w:r>
            <w:r>
              <w:rPr>
                <w:rFonts w:hint="eastAsia" w:ascii="宋体" w:hAnsi="宋体" w:cs="宋体"/>
                <w:kern w:val="0"/>
                <w:sz w:val="18"/>
                <w:szCs w:val="18"/>
                <w:lang w:bidi="ar"/>
              </w:rPr>
              <w:t>分，分值扣完为止。</w:t>
            </w:r>
          </w:p>
        </w:tc>
        <w:tc>
          <w:tcPr>
            <w:tcW w:w="1348" w:type="pct"/>
            <w:vAlign w:val="center"/>
          </w:tcPr>
          <w:p>
            <w:pPr>
              <w:wordWrap w:val="0"/>
              <w:jc w:val="left"/>
              <w:rPr>
                <w:rFonts w:ascii="宋体" w:hAnsi="宋体" w:cs="Segoe UI"/>
                <w:color w:val="000000"/>
                <w:kern w:val="0"/>
                <w:sz w:val="18"/>
                <w:szCs w:val="18"/>
              </w:rPr>
            </w:pPr>
          </w:p>
        </w:tc>
      </w:tr>
    </w:tbl>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3</w:t>
      </w:r>
      <w:r>
        <w:rPr>
          <w:rFonts w:hint="eastAsia" w:ascii="仿宋_GB2312" w:hAnsi="Segoe UI" w:eastAsia="仿宋_GB2312" w:cs="Segoe UI"/>
          <w:b/>
          <w:bCs/>
          <w:color w:val="000000" w:themeColor="text1"/>
          <w:kern w:val="0"/>
          <w:sz w:val="28"/>
          <w:szCs w:val="28"/>
        </w:rPr>
        <w:t>：采购报价文件书装订顺序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6</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9234"/>
      <w:bookmarkStart w:id="3" w:name="_Toc3414"/>
      <w:bookmarkStart w:id="4" w:name="_Toc21163"/>
      <w:bookmarkStart w:id="5" w:name="_Toc15614"/>
      <w:bookmarkStart w:id="6" w:name="_Toc21676"/>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5499"/>
      <w:bookmarkStart w:id="8" w:name="_Toc30275"/>
      <w:bookmarkStart w:id="9" w:name="_Toc14802"/>
      <w:bookmarkStart w:id="10" w:name="_Toc11076"/>
      <w:bookmarkStart w:id="11" w:name="_Toc10689"/>
      <w:bookmarkStart w:id="12" w:name="_Toc12490"/>
      <w:bookmarkStart w:id="13" w:name="_Toc5208"/>
      <w:bookmarkStart w:id="14" w:name="_Toc60"/>
      <w:bookmarkStart w:id="15" w:name="_Toc30494"/>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32214"/>
      <w:bookmarkStart w:id="17" w:name="_Toc10948"/>
      <w:bookmarkStart w:id="18" w:name="_Toc3081"/>
      <w:bookmarkStart w:id="19" w:name="_Toc3912"/>
      <w:bookmarkStart w:id="20" w:name="_Toc26481"/>
      <w:bookmarkStart w:id="21" w:name="_Toc30724"/>
      <w:bookmarkStart w:id="22" w:name="_Toc9131"/>
      <w:bookmarkStart w:id="23" w:name="_Toc13021"/>
      <w:bookmarkStart w:id="24" w:name="_Toc7067"/>
      <w:bookmarkStart w:id="25" w:name="_Toc10183"/>
      <w:bookmarkStart w:id="26" w:name="_Toc28103"/>
      <w:bookmarkStart w:id="27" w:name="_Toc18879"/>
      <w:bookmarkStart w:id="28" w:name="_Toc3447"/>
      <w:bookmarkStart w:id="29" w:name="_Toc19115"/>
      <w:bookmarkStart w:id="30" w:name="_Toc8717"/>
      <w:bookmarkStart w:id="31" w:name="_Toc3392"/>
      <w:bookmarkStart w:id="32" w:name="_Toc18513"/>
      <w:bookmarkStart w:id="33" w:name="_Toc30080"/>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30649"/>
      <w:bookmarkStart w:id="35" w:name="_Toc18259"/>
      <w:bookmarkStart w:id="36" w:name="_Toc22795"/>
      <w:bookmarkStart w:id="37" w:name="_Toc30920"/>
      <w:bookmarkStart w:id="38" w:name="_Toc15196"/>
      <w:bookmarkStart w:id="39" w:name="_Toc23645"/>
      <w:bookmarkStart w:id="40" w:name="_Toc9042"/>
      <w:bookmarkStart w:id="41" w:name="_Toc10142"/>
      <w:bookmarkStart w:id="42" w:name="_Toc7249"/>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4"/>
      <w:bookmarkStart w:id="46" w:name="_Toc19600"/>
      <w:bookmarkStart w:id="47" w:name="_Toc26548"/>
      <w:bookmarkStart w:id="48" w:name="_Toc21988"/>
      <w:bookmarkStart w:id="49" w:name="_Toc25516"/>
      <w:bookmarkStart w:id="50" w:name="_Toc4775"/>
      <w:bookmarkStart w:id="51" w:name="_Toc30083"/>
      <w:bookmarkStart w:id="52" w:name="_Toc3534"/>
      <w:bookmarkStart w:id="53" w:name="_Toc24117"/>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2333"/>
      <w:bookmarkStart w:id="55" w:name="_Toc691"/>
      <w:bookmarkStart w:id="56" w:name="_Toc21982"/>
      <w:bookmarkStart w:id="57" w:name="_Toc27376"/>
      <w:bookmarkStart w:id="58" w:name="_Toc32166"/>
      <w:bookmarkStart w:id="59" w:name="_Toc16666"/>
      <w:bookmarkStart w:id="60" w:name="_Toc16764"/>
      <w:bookmarkStart w:id="61" w:name="_Toc22198"/>
      <w:bookmarkStart w:id="62" w:name="_Toc14887"/>
      <w:bookmarkStart w:id="63" w:name="_Toc23192"/>
      <w:bookmarkStart w:id="64" w:name="_Toc3494"/>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31581"/>
      <w:bookmarkStart w:id="66" w:name="_Toc3943"/>
      <w:bookmarkStart w:id="67" w:name="_Toc9263"/>
      <w:bookmarkStart w:id="68" w:name="_Toc4577"/>
      <w:bookmarkStart w:id="69" w:name="_Toc22606"/>
      <w:bookmarkStart w:id="70" w:name="_Toc14269"/>
      <w:bookmarkStart w:id="71" w:name="_Toc25068"/>
      <w:bookmarkStart w:id="72" w:name="_Toc1371"/>
      <w:bookmarkStart w:id="73" w:name="_Toc11914"/>
      <w:bookmarkStart w:id="74" w:name="_Toc10013"/>
      <w:bookmarkStart w:id="75" w:name="_Toc5412"/>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1489"/>
      <w:bookmarkStart w:id="77" w:name="_Toc31890"/>
      <w:bookmarkStart w:id="78" w:name="_Toc13677"/>
      <w:bookmarkStart w:id="79" w:name="_Toc10600"/>
      <w:bookmarkStart w:id="80" w:name="_Toc2937"/>
      <w:bookmarkStart w:id="81" w:name="_Toc13267"/>
      <w:bookmarkStart w:id="82" w:name="_Toc17108"/>
      <w:bookmarkStart w:id="83" w:name="_Toc29190"/>
      <w:bookmarkStart w:id="84" w:name="_Toc2316"/>
      <w:bookmarkStart w:id="85" w:name="_Toc18935"/>
      <w:bookmarkStart w:id="86" w:name="_Toc3908"/>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2088"/>
      <w:bookmarkStart w:id="88" w:name="_Toc32365"/>
      <w:bookmarkStart w:id="89" w:name="_Toc31638"/>
      <w:bookmarkStart w:id="90" w:name="_Toc15916"/>
      <w:bookmarkStart w:id="91" w:name="_Toc21351"/>
      <w:bookmarkStart w:id="92" w:name="_Toc14252"/>
      <w:bookmarkStart w:id="93" w:name="_Toc24122"/>
      <w:bookmarkStart w:id="94" w:name="_Toc1313"/>
      <w:bookmarkStart w:id="95" w:name="_Toc26756"/>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18046"/>
      <w:bookmarkStart w:id="98" w:name="_Toc15083"/>
      <w:bookmarkStart w:id="99" w:name="_Toc27985"/>
      <w:bookmarkStart w:id="100" w:name="_Toc10583"/>
      <w:bookmarkStart w:id="101" w:name="_Toc29215"/>
      <w:bookmarkStart w:id="102" w:name="_Toc9398"/>
      <w:bookmarkStart w:id="103" w:name="_Toc23212"/>
      <w:bookmarkStart w:id="104" w:name="_Toc19589"/>
      <w:bookmarkStart w:id="105" w:name="_Toc26609"/>
      <w:bookmarkStart w:id="106" w:name="_Toc11278"/>
      <w:bookmarkStart w:id="107" w:name="_Toc27948"/>
      <w:bookmarkStart w:id="108" w:name="_Toc22760"/>
      <w:bookmarkStart w:id="109" w:name="_Toc15894"/>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671"/>
      <w:bookmarkStart w:id="111" w:name="_Toc24655"/>
      <w:bookmarkStart w:id="112" w:name="_Toc757"/>
      <w:bookmarkStart w:id="113" w:name="_Toc27767"/>
      <w:bookmarkStart w:id="114" w:name="_Toc14546"/>
      <w:bookmarkStart w:id="115" w:name="_Toc8940"/>
      <w:bookmarkStart w:id="116" w:name="_Toc17204"/>
      <w:bookmarkStart w:id="117" w:name="_Toc4116"/>
      <w:bookmarkStart w:id="118" w:name="_Toc24107"/>
      <w:bookmarkStart w:id="119" w:name="_Toc8083"/>
      <w:bookmarkStart w:id="120" w:name="_Toc29648"/>
      <w:bookmarkStart w:id="121" w:name="_Toc17741"/>
      <w:bookmarkStart w:id="122" w:name="_Toc83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20745"/>
      <w:bookmarkStart w:id="124" w:name="_Toc10950"/>
      <w:bookmarkStart w:id="125" w:name="_Toc22243"/>
      <w:bookmarkStart w:id="126" w:name="_Toc24280"/>
      <w:bookmarkStart w:id="127" w:name="_Toc2003"/>
      <w:bookmarkStart w:id="128" w:name="_Toc10308"/>
      <w:bookmarkStart w:id="129" w:name="_Toc12682"/>
      <w:bookmarkStart w:id="130" w:name="_Toc15917"/>
      <w:bookmarkStart w:id="131" w:name="_Toc8524"/>
      <w:bookmarkStart w:id="132" w:name="_Toc5840"/>
      <w:bookmarkStart w:id="133" w:name="_Toc10945"/>
      <w:bookmarkStart w:id="134" w:name="_Toc14781"/>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eastAsia"/>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2F76089"/>
    <w:rsid w:val="053A5330"/>
    <w:rsid w:val="07953CAB"/>
    <w:rsid w:val="07B925A7"/>
    <w:rsid w:val="0BF815CE"/>
    <w:rsid w:val="0E911C5D"/>
    <w:rsid w:val="10954EC2"/>
    <w:rsid w:val="12A81059"/>
    <w:rsid w:val="13485B4A"/>
    <w:rsid w:val="14456F80"/>
    <w:rsid w:val="16CF49E3"/>
    <w:rsid w:val="195D2073"/>
    <w:rsid w:val="1A37043E"/>
    <w:rsid w:val="1D7F6F17"/>
    <w:rsid w:val="228C2840"/>
    <w:rsid w:val="26D9225C"/>
    <w:rsid w:val="272816FC"/>
    <w:rsid w:val="27C574A7"/>
    <w:rsid w:val="28203DA9"/>
    <w:rsid w:val="2E811DD5"/>
    <w:rsid w:val="357C4381"/>
    <w:rsid w:val="35B62063"/>
    <w:rsid w:val="364F4E7F"/>
    <w:rsid w:val="365344A5"/>
    <w:rsid w:val="38BB478A"/>
    <w:rsid w:val="396510AC"/>
    <w:rsid w:val="3A8239FC"/>
    <w:rsid w:val="3ED3727D"/>
    <w:rsid w:val="3F8F70D9"/>
    <w:rsid w:val="405F3E1B"/>
    <w:rsid w:val="41EE0E8D"/>
    <w:rsid w:val="434A6550"/>
    <w:rsid w:val="4669398D"/>
    <w:rsid w:val="48983A5D"/>
    <w:rsid w:val="4AE36A9A"/>
    <w:rsid w:val="4B7A520A"/>
    <w:rsid w:val="4C5E41EC"/>
    <w:rsid w:val="4EE10A0C"/>
    <w:rsid w:val="51CB3FD0"/>
    <w:rsid w:val="52D04152"/>
    <w:rsid w:val="53914C7E"/>
    <w:rsid w:val="5536063D"/>
    <w:rsid w:val="55F211D3"/>
    <w:rsid w:val="56183BA8"/>
    <w:rsid w:val="577B25E6"/>
    <w:rsid w:val="57963D28"/>
    <w:rsid w:val="5C452678"/>
    <w:rsid w:val="5FEC0FA4"/>
    <w:rsid w:val="60795DD8"/>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6610EA"/>
    <w:rsid w:val="71D57369"/>
    <w:rsid w:val="75233D75"/>
    <w:rsid w:val="77490A08"/>
    <w:rsid w:val="78BA1DAC"/>
    <w:rsid w:val="799A6260"/>
    <w:rsid w:val="7ADF7723"/>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3</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2024-06-05T06:51:28Z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